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Кандидатстване: BG16RFPR001-2.003 Въвеждане на зелени технологии в МСП</w:t>
      </w:r>
    </w:p>
    <w:p>
      <w:r>
        <w:rPr>
          <w:i/>
          <w:iCs/>
        </w:rPr>
        <w:t xml:space="preserve">Направено на 4 октомври 2026 г., 19:04 ч. от официалните документи на процедурата в ИСУН. Това е помощ, не правен съвет.</w:t>
      </w:r>
    </w:p>
    <w:p>
      <w:pPr>
        <w:pStyle w:val="Heading1"/>
      </w:pPr>
      <w:r>
        <w:t xml:space="preserve">Накратко</w:t>
      </w:r>
    </w:p>
    <w:p>
      <w:r>
        <w:t xml:space="preserve">Процедурата дава безвъзмездни пари на микро, малки и средни предприятия, които въвеждат зелени технологии и преминават към кръгови модели на производство и потребление. Финансира се закупуване на машини, оборудване, софтуер и други дълготрайни активи. Целта е по-малко отпадъци, по-малко суровини и вода, по-малко опаковки и по-дълготрайни продукти. Може да се добави и въвеждане на екологичен стандарт, например ISO 14001, EMAS или Екомаркировката на ЕС. С предимство са проектите в общини с одобрени концепции за интегрирани териториални инвестиции.</w:t>
      </w:r>
    </w:p>
    <w:p>
      <w:r>
        <w:rPr>
          <w:b/>
          <w:bCs/>
        </w:rPr>
        <w:t xml:space="preserve">Процедура: </w:t>
      </w:r>
      <w:r>
        <w:t xml:space="preserve">BG16RFPR001-2.003 „Въвеждане на зелени технологии в МСП“</w:t>
      </w:r>
    </w:p>
    <w:p>
      <w:r>
        <w:rPr>
          <w:b/>
          <w:bCs/>
        </w:rPr>
        <w:t xml:space="preserve">Програма: </w:t>
      </w:r>
      <w:r>
        <w:t xml:space="preserve">Програма "Конкурентоспособност и иновации в предприятията" 2021-2027</w:t>
      </w:r>
    </w:p>
    <w:p>
      <w:r>
        <w:rPr>
          <w:b/>
          <w:bCs/>
        </w:rPr>
        <w:t xml:space="preserve">Краен срок за подаване: </w:t>
      </w:r>
      <w:r>
        <w:t xml:space="preserve">10 ноември 2026 г., 16:30 ч. (по страницата на процедурата в ИСУН)</w:t>
      </w:r>
    </w:p>
    <w:p>
      <w:r>
        <w:rPr>
          <w:b/>
          <w:bCs/>
        </w:rPr>
        <w:t xml:space="preserve">Внимание: </w:t>
      </w:r>
      <w:r>
        <w:t xml:space="preserve">Това е помощ при подготовката, не правен съвет и не гаранция за одобрение. Всичко е взето от официалните документи на процедурата в ИСУН и под всяко твърдение е точният текст. Окончателно важат самите документи.</w:t>
      </w:r>
    </w:p>
    <w:p>
      <w:pPr>
        <w:pStyle w:val="Heading1"/>
      </w:pPr>
      <w:r>
        <w:t xml:space="preserve">За вашата фирма</w:t>
      </w:r>
    </w:p>
    <w:p>
      <w:r>
        <w:t xml:space="preserve">За да сравним условията с вашата фирма, първо я опишете в съветника на сайта.</w:t>
      </w:r>
    </w:p>
    <w:p>
      <w:pPr>
        <w:pStyle w:val="Heading1"/>
      </w:pPr>
      <w:r>
        <w:t xml:space="preserve">Кой може да кандидатства</w:t>
      </w:r>
    </w:p>
    <w:p>
      <w:r>
        <w:t xml:space="preserve">Кандидатът трябва да е търговец по Търговския закон или по Закона за кооперациите, или еквивалентно лице от държава от Европейското икономическо пространство.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„Да са търговци по смисъла на Търговския закон или Закона за кооперациите или да са еквивалентно лице по смисъла на законодателството на държава-членка на Европейското икономическо пространство (ЕИП).“</w:t>
      </w:r>
    </w:p>
    <w:p>
      <w:r>
        <w:t xml:space="preserve">Фирмата трябва да е регистрирана не по-късно от 31 декември 2023 година.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„Да са регистрирани не по-късно от 31.12.2023 г.“</w:t>
      </w:r>
    </w:p>
    <w:p>
      <w:r>
        <w:t xml:space="preserve">Фирмата трябва да е микро, малко или средно предприятие според Закона за малките и средните предприятия.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„Да са микро, малки или средни предприятия по смисъла на чл. 3 и чл. 4 от Закона за малките и средните предприятия (ЗМСП)“</w:t>
      </w:r>
    </w:p>
    <w:p>
      <w:r>
        <w:t xml:space="preserve">Микропредприятие трябва да има средногодишни нетни приходи от продажби за 2023, 2024 и 2025 година поне 200 000 лева.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„- за микропредприятие: равни на или надвишаващи 200 000 лева;“</w:t>
      </w:r>
    </w:p>
    <w:p>
      <w:r>
        <w:t xml:space="preserve">Малко предприятие трябва да има средногодишни нетни приходи от продажби за 2023, 2024 и 2025 година поне 300 000 лева.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„- за малко предприятие: равни на или надвишаващи 300 000 лева;“</w:t>
      </w:r>
    </w:p>
    <w:p>
      <w:r>
        <w:t xml:space="preserve">Средно предприятие трябва да има средногодишни нетни приходи от продажби за 2023, 2024 и 2025 година поне 800 000 лева.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„за средно предприятие: равни на или надвишаващи 800 000 лева“</w:t>
      </w:r>
    </w:p>
    <w:p>
      <w:r>
        <w:t xml:space="preserve">При изчисляване на приходите се гледат само собствените отчети на фирмата, без свързаните предприятия и партньорите.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„се вземат предвид само данните от индивидуалните Отчети за приходите и разходите за посочените години на кандидата, без да се отчитат данните на негови свързани предприятия“</w:t>
      </w:r>
    </w:p>
    <w:p>
      <w:r>
        <w:t xml:space="preserve">Кодът на дейността, за която се иска помощ, трябва да е основна или допълнителна дейност, която носи поне 20 процента от нетните приходи от продажби за 2025 година.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„основната или допълнителната икономическа дейност на кандидата съгласно КИД-2025 на НСИ, която формира минимум 20 % от нетните приходи от продажби на кандидата въз основа на данни за 2025 г.“</w:t>
      </w:r>
    </w:p>
    <w:p>
      <w:r>
        <w:t xml:space="preserve">Допуска се и нов за фирмата код на дейност, ако в него тя ще прави продукти или услуги от остатъчни суровини или отпадъци, или ще удължава живота на свои продукти.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„нов за кандидата код на икономическа дейност съгласно КИД-2025, в рамките на който предприятието ще произвежда/предлага продукти/услуги от остатъчни суровини/отпадъци“</w:t>
      </w:r>
    </w:p>
    <w:p>
      <w:r>
        <w:t xml:space="preserve">Проектът трябва да се изпълнява в България, като всички места на изпълнение са само в една от трите категории региони.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„мястото/местата на изпълнение на проекта попада/т само в една от трите категории региони“</w:t>
      </w:r>
    </w:p>
    <w:p>
      <w:r>
        <w:t xml:space="preserve">Кандидатства се самостоятелно, без партньори.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„По настоящата процедура кандидатите участват индивидуално, а не съвместно с партньорски или други организации.“</w:t>
      </w:r>
    </w:p>
    <w:p>
      <w:r>
        <w:t xml:space="preserve">Всеки кандидат може да подаде само едно проектно предложение.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рамките на настоящата процедура кандидатите могат да подадат само едно проектно предложение.“</w:t>
      </w:r>
    </w:p>
    <w:p>
      <w:pPr>
        <w:pStyle w:val="Heading2"/>
      </w:pPr>
      <w:r>
        <w:t xml:space="preserve">Кой не може да кандидатства</w:t>
      </w:r>
    </w:p>
    <w:p>
      <w:r>
        <w:t xml:space="preserve">Клонове на юридически лица, регистрирани в България.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„Клонове на юридически лица, регистрирани в България, не могат да участват в процедурата поради липсата на самостоятелна правосубектност.“</w:t>
      </w:r>
    </w:p>
    <w:p>
      <w:r>
        <w:t xml:space="preserve">Фирми в несъстоятелност, в ликвидация или с преустановена дейност.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„са в производство по несъстоятелност;“</w:t>
      </w:r>
    </w:p>
    <w:p>
      <w:r>
        <w:t xml:space="preserve">Фирми с непогасени задължения за данъци и осигуровки, установени с влязъл в сила акт, без разсрочване или обезпечение.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„имат задължения за данъци и задължителни осигурителни вноски по смисъла на чл. 162, ал. 2, т. 1 от Данъчно-осигурителния процесуален кодекс“</w:t>
      </w:r>
    </w:p>
    <w:p>
      <w:r>
        <w:t xml:space="preserve">Микропредприятия със седалище или клон в селски район, които ще изпълняват проекта в община от селските райони.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„микропредприятия по смисъла на чл. 3-4 от ЗМСП, които имат седалище или клон със седалище на територията на селски район, и са заявили за подпомагане по проекта дейности, които ще се осъществяват в община на територията на селските райони“</w:t>
      </w:r>
    </w:p>
    <w:p>
      <w:r>
        <w:t xml:space="preserve">Фирми, които искат помощ за определени дейности по производство на храни, напитки и някои химични продукти, изброени в условията, например месо, мляко, вино.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„предприятия, кандидатстващи за финансиране на икономически дейности, които съгласно КИД-2025 на НСИ (Приложение 12) попадат в сектор С - раздел 10 „Производство на хранителни продукти”, раздел 11 „Производство на напитки” и раздел 20 „Производство на химични продукти”“</w:t>
      </w:r>
    </w:p>
    <w:p>
      <w:r>
        <w:t xml:space="preserve">Фирми, които искат помощ за преработка на горски продукти.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„предприятия, кандидатстващи за финансиране на дейности за преработка на горски продукти.“</w:t>
      </w:r>
    </w:p>
    <w:p>
      <w:r>
        <w:t xml:space="preserve">Фирми, които искат помощ за риболов, рибарство и аквакултури.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„кандидатстващи за финансиране на дейности, попадащи в обхвата на сектор риболов и сектора на рибарството и аквакултурите“</w:t>
      </w:r>
    </w:p>
    <w:p>
      <w:r>
        <w:t xml:space="preserve">Фирми, които искат помощ за недопустими сектори: селско, горско и рибно стопанство, събиране и третиране на отпадъци, държавно управление, хазарт и други изброени.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„раздел 38 „Събиране, оползотворяване и обезвреждане на отпадъци” и раздел 39 „Възстановяване и други дейности по управление на отпадъци”“</w:t>
      </w:r>
    </w:p>
    <w:p>
      <w:r>
        <w:t xml:space="preserve">Фирми, чиято основна дейност за 2025 година е във финансови и застрахователни дейности.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„основната им икономическа дейност въз основа на данни за 2025 г. е в сектор L „Финансови и застрахователни дейности”“</w:t>
      </w:r>
    </w:p>
    <w:p>
      <w:r>
        <w:t xml:space="preserve">Фирми с невърнати неправомерно получени или надплатени средства по европейски проекти.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„за които е установено с влязъл в сила административен акт наличието на недължимо платени и/или надплатени суми“</w:t>
      </w:r>
    </w:p>
    <w:p>
      <w:pPr>
        <w:pStyle w:val="Heading1"/>
      </w:pPr>
      <w:r>
        <w:t xml:space="preserve">Колко пари и при какви условия</w:t>
      </w:r>
    </w:p>
    <w:p>
      <w:r>
        <w:rPr>
          <w:b/>
          <w:bCs/>
        </w:rPr>
        <w:t xml:space="preserve">Общ бюджет: </w:t>
      </w:r>
      <w:r>
        <w:t xml:space="preserve">Общият бюджет на процедурата е 82 995 277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„Общият размер на безвъзмездната финансова помощ по процедура BG16RFPR001-2.003 „Въвеждане на зелени технологии в МСП” е 82 995 277 евро.“</w:t>
      </w:r>
    </w:p>
    <w:p>
      <w:r>
        <w:rPr>
          <w:b/>
          <w:bCs/>
        </w:rPr>
        <w:t xml:space="preserve">Минимална помощ за проект: </w:t>
      </w:r>
      <w:r>
        <w:t xml:space="preserve">Минималната помощ за проект е 77 000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„стойността на заявената безвъзмездна финансова помощ е под изискуемия минимален размер (който е 77 000 евро)“</w:t>
      </w:r>
    </w:p>
    <w:p>
      <w:r>
        <w:rPr>
          <w:b/>
          <w:bCs/>
        </w:rPr>
        <w:t xml:space="preserve">Максимална помощ при минимална помощ: </w:t>
      </w:r>
      <w:r>
        <w:t xml:space="preserve">При режим минимална помощ максимумът е 300 000 евро за всички категории предприятия.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„Микро-, малки и средни предприятия – 300 000 евро.“</w:t>
      </w:r>
    </w:p>
    <w:p>
      <w:r>
        <w:rPr>
          <w:b/>
          <w:bCs/>
        </w:rPr>
        <w:t xml:space="preserve">Максимална регионална помощ за микропредприятие: </w:t>
      </w:r>
      <w:r>
        <w:t xml:space="preserve">При регионална инвестиционна помощ максимумът за микропредприятие е 300 000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„Микро предприятия: 300 000 евро;“</w:t>
      </w:r>
    </w:p>
    <w:p>
      <w:r>
        <w:rPr>
          <w:b/>
          <w:bCs/>
        </w:rPr>
        <w:t xml:space="preserve">Максимална регионална помощ за малко предприятие: </w:t>
      </w:r>
      <w:r>
        <w:t xml:space="preserve">При регионална инвестиционна помощ максимумът за малко предприятие е 350 000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„Малки предприятия: 350 000 евро;“</w:t>
      </w:r>
    </w:p>
    <w:p>
      <w:r>
        <w:rPr>
          <w:b/>
          <w:bCs/>
        </w:rPr>
        <w:t xml:space="preserve">Максимална регионална помощ за средно предприятие: </w:t>
      </w:r>
      <w:r>
        <w:t xml:space="preserve">При регионална инвестиционна помощ максимумът за средно предприятие е 450 000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„Средни предприятия: 450 000 евро.“</w:t>
      </w:r>
    </w:p>
    <w:p>
      <w:r>
        <w:rPr>
          <w:b/>
          <w:bCs/>
        </w:rPr>
        <w:t xml:space="preserve">Интензитет при минимална помощ: </w:t>
      </w:r>
      <w:r>
        <w:t xml:space="preserve">При минимална помощ интензитетът е до 70 процента от допустимите разходи за всички категории; останалото е собствено съфинансиране.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„интензитетът на безвъзмездната помощ е по-нисък или равен на 70% от общите допустими разходи по Елемент I/Елемент II заявени от кандидата по проекта (за всички категории предприятия – микро, малки и средни предприятия)“</w:t>
      </w:r>
    </w:p>
    <w:p>
      <w:r>
        <w:rPr>
          <w:b/>
          <w:bCs/>
        </w:rPr>
        <w:t xml:space="preserve">Интензитет при регионална помощ: </w:t>
      </w:r>
      <w:r>
        <w:t xml:space="preserve">При регионална инвестиционна помощ за микро и малко предприятие извън Югозападния район интензитетът е до 70 процента.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„интензитетът на безвъзмездната помощ по Елемент I е по-нисък или равен на 70% от общите допустими разходи по Елемент I“</w:t>
      </w:r>
    </w:p>
    <w:p>
      <w:r>
        <w:rPr>
          <w:b/>
          <w:bCs/>
        </w:rPr>
        <w:t xml:space="preserve">Режим на помощта: </w:t>
      </w:r>
      <w:r>
        <w:t xml:space="preserve">За задължителния Елемент I се избира само един режим: регионална инвестиционна помощ по групово освобождаване или минимална помощ de minimis. Незадължителният Елемент II е само минимална помощ.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„По задължителния Елемент I кандидатите следва да изберат само ЕДИН от посочените два допустими режима – режим „регионална инвестиционна помощ” или режим „минимална помощ” (de minimis)“</w:t>
      </w:r>
    </w:p>
    <w:p>
      <w:pPr>
        <w:pStyle w:val="Heading1"/>
      </w:pPr>
      <w:r>
        <w:t xml:space="preserve">За какво дават пари</w:t>
      </w:r>
    </w:p>
    <w:p>
      <w:pPr>
        <w:pStyle w:val="Heading2"/>
      </w:pPr>
      <w:r>
        <w:t xml:space="preserve">Допустими дейности</w:t>
      </w:r>
    </w:p>
    <w:p>
      <w:r>
        <w:t xml:space="preserve">Задължителна дейност: въвеждане на зелени технологии за кръгови модели на производство и потребление.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 1. Въвеждане на зелени технологии в предприятията за прилагане на кръгови модели за производство и потребление.“</w:t>
      </w:r>
    </w:p>
    <w:p>
      <w:r>
        <w:t xml:space="preserve">Направление 1: по-добро управление на отпадъците, включително рециклиране и по-малко отпадъци и отпадъчни води.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„Направление 1) Подобряване на управлението на отпадъците:“</w:t>
      </w:r>
    </w:p>
    <w:p>
      <w:r>
        <w:t xml:space="preserve">Направление 2: по-добро използване на суровини и вода, включително рециклирани и биологични суровини.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„Направление 2) Оптимизиране използването на суровини, вкл. вода:“</w:t>
      </w:r>
    </w:p>
    <w:p>
      <w:r>
        <w:t xml:space="preserve">Направление 3: премахване, намаляване или заместване на опаковки с по-екологични.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„елиминиране или намаляване използването на опаковки (вкл. от пластмаса) или заместване на опаковките“</w:t>
      </w:r>
    </w:p>
    <w:p>
      <w:r>
        <w:t xml:space="preserve">Направление 4: устойчиви продукти и услуги, например повторна употреба, поправка, разглобяване, заместване на пластмаса.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„Направление 4) Производство/предоставяне на устойчиви продукти/услуги:“</w:t>
      </w:r>
    </w:p>
    <w:p>
      <w:r>
        <w:t xml:space="preserve">При регионална помощ инвестицията трябва да е една от трите: нов обект, увеличен капацитет или нови продукти в обекта.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„трябва задължително да имат за свой основен предмет осъществяването на ЕДНА от следните първоначални инвестиции в материални и/или нематериални активи“</w:t>
      </w:r>
    </w:p>
    <w:p>
      <w:r>
        <w:t xml:space="preserve">Незадължителна дейност: въвеждане на EMAS, ISO 14001, ISO 14006 или Екомаркировката на ЕС.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 2. Постигане на съответствие с екологични стандарти, вкл. Екомаркировката на ЕС:“</w:t>
      </w:r>
    </w:p>
    <w:p>
      <w:r>
        <w:t xml:space="preserve">Проект само с дейността за екологични стандарти не се допуска.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„Включването в проекта само на Дейност 2 по Елемент II е недопустимо по настоящата процедура.“</w:t>
      </w:r>
    </w:p>
    <w:p>
      <w:pPr>
        <w:pStyle w:val="Heading2"/>
      </w:pPr>
      <w:r>
        <w:t xml:space="preserve">Допустими разходи</w:t>
      </w:r>
    </w:p>
    <w:p>
      <w:r>
        <w:t xml:space="preserve">Машини, съоръжения и оборудване, нужни за зелените технологии и кръговите модели.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„Разходи за придобиване на машини, съоръжения и оборудване, представляващи дълготрайни материални активи (ДМА), необходими за въвеждането на зелени технологии за прилагане на кръгови модели в предприятието“</w:t>
      </w:r>
    </w:p>
    <w:p>
      <w:r>
        <w:t xml:space="preserve">Нематериални активи: софтуер, патенти, полезни модели, промишлени дизайни, лицензии.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„Разходи за придобиване на дълготрайни нематериални активи (ДНА), вкл. софтуери, патенти, полезни модели, промишлени дизайни, лицензии“</w:t>
      </w:r>
    </w:p>
    <w:p>
      <w:r>
        <w:t xml:space="preserve">Софтуер, включително лиценз или абонамент, общо до 90 000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„Допустимият размер на разходите за придобиване на софтуер, вкл. чрез договор за ползване за определен период (лиценз, SaaS и др.), е до 90 000 евро (в т.ч. БФП и собствено съфинансиране от кандидата).“</w:t>
      </w:r>
    </w:p>
    <w:p>
      <w:r>
        <w:t xml:space="preserve">Интеграцията на софтуерни системи е допустима само ако е включена в цената на самия софтуер.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„са допустими само в случай, че са включени в общата стойност на съответния/те“</w:t>
      </w:r>
    </w:p>
    <w:p>
      <w:r>
        <w:t xml:space="preserve">Услуги за въвеждане на екологични стандарти и Екомаркировката на ЕС, до 15 000 евро.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„Разходи за услуги за постигане на съответствие с екологични стандарти, вкл. Екомаркировката на ЕС – до 15 000 евро.“</w:t>
      </w:r>
    </w:p>
    <w:p>
      <w:r>
        <w:t xml:space="preserve">Невъзстановимият данък добавена стойност е допустим.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„За всички кандидати, за които ДДС е „невъзстановим”, то същият се счита за допустим за финансиране“</w:t>
      </w:r>
    </w:p>
    <w:p>
      <w:r>
        <w:t xml:space="preserve">Разходите трябва да са направени след подаване на проектното предложение.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„Да бъдат извършени след датата на подаване на проектното предложение и до изтичане на крайния срок, определен за представяне на финалния отчет по проекта.“</w:t>
      </w:r>
    </w:p>
    <w:p>
      <w:pPr>
        <w:pStyle w:val="Heading2"/>
      </w:pPr>
      <w:r>
        <w:t xml:space="preserve">Недопустими разходи</w:t>
      </w:r>
    </w:p>
    <w:p>
      <w:r>
        <w:t xml:space="preserve">Активи втора употреба.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за придобиване на активи (ДМА и/или ДНА) - втора употреба;“</w:t>
      </w:r>
    </w:p>
    <w:p>
      <w:r>
        <w:t xml:space="preserve">Строително-монтажни работи.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по извършване на строително-монтажни работи (СМР);“</w:t>
      </w:r>
    </w:p>
    <w:p>
      <w:r>
        <w:t xml:space="preserve">Енергийна ефективност, смяна на енергиен източник и възобновяема енергия.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„дейности, които водят до намаляване на количеството потребявана енергия или до замяна на един енергиен източник с друг, както и дейности за въвеждане на възобновяеми енергийни източници;“</w:t>
      </w:r>
    </w:p>
    <w:p>
      <w:r>
        <w:t xml:space="preserve">Купуване или наемане на транспортни средства.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по закупуване или наемане на транспортни средства и съоръжения;“</w:t>
      </w:r>
    </w:p>
    <w:p>
      <w:r>
        <w:t xml:space="preserve">Купуване на земя и сгради.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по закупуване на земя и сгради;“</w:t>
      </w:r>
    </w:p>
    <w:p>
      <w:r>
        <w:t xml:space="preserve">Офис обзавеждане, компютри и софтуер за общи административни нужди.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за закупуване на офис и друго обзавеждане, компютърно оборудване, софтуер и друго оборудване, предназначено за общи административни нужди“</w:t>
      </w:r>
    </w:p>
    <w:p>
      <w:r>
        <w:t xml:space="preserve">Суровини, материали, консумативи и резервни части.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по закупуване и/или доставка на ресурси за производство, имащи характер на стоково-материални запаси“</w:t>
      </w:r>
    </w:p>
    <w:p>
      <w:r>
        <w:t xml:space="preserve">Управление на проекта и консултанти за подготовка на предложението.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за организация и управление на проектите, както и дейности за консултантски услуги за подготовка на проектните предложения;“</w:t>
      </w:r>
    </w:p>
    <w:p>
      <w:r>
        <w:t xml:space="preserve">Реклама, включително мерки за видимост на проекта.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 по извършване на реклама“</w:t>
      </w:r>
    </w:p>
    <w:p>
      <w:r>
        <w:t xml:space="preserve">Възстановим данък добавена стойност.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„разходи за възстановим ДДС;“</w:t>
      </w:r>
    </w:p>
    <w:p>
      <w:r>
        <w:rPr>
          <w:b/>
          <w:bCs/>
        </w:rPr>
        <w:t xml:space="preserve">Срок за изпълнение на проекта: </w:t>
      </w:r>
      <w:r>
        <w:t xml:space="preserve">Проектът трябва да приключи до 12 месеца от влизането в сила на договора.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„Продължителността на изпълнение на всеки проект не следва да надвишава 12 (дванадесет) месеца, считано от датата на влизане в сила на административния договор за предоставяне на безвъзмездна финансова помощ.“</w:t>
      </w:r>
    </w:p>
    <w:p>
      <w:pPr>
        <w:pStyle w:val="Heading1"/>
      </w:pPr>
      <w:r>
        <w:t xml:space="preserve">Срокове</w:t>
      </w:r>
    </w:p>
    <w:p>
      <w:r>
        <w:rPr>
          <w:b/>
          <w:bCs/>
        </w:rPr>
        <w:t xml:space="preserve">Краен срок за подаване: </w:t>
      </w:r>
      <w:r>
        <w:t xml:space="preserve">Краен срок за подаване: 16 и 30 часа на 10 ноември 2026 година.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„Крайният срок за подаване на проектни предложения е 16:30 часа на 10.11.2026 г.“</w:t>
      </w:r>
    </w:p>
    <w:p>
      <w:r>
        <w:rPr>
          <w:b/>
          <w:bCs/>
        </w:rPr>
        <w:t xml:space="preserve">Срок за въпроси: </w:t>
      </w:r>
      <w:r>
        <w:t xml:space="preserve">Въпроси се задават в ИСУН до 3 седмици преди крайния срок.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предложения.“</w:t>
      </w:r>
    </w:p>
    <w:p>
      <w:r>
        <w:rPr>
          <w:b/>
          <w:bCs/>
        </w:rPr>
        <w:t xml:space="preserve">Публикуване на отговорите: </w:t>
      </w:r>
      <w:r>
        <w:t xml:space="preserve">Отговорите се публикуват до 10 дни след въпроса, но не по-късно от две седмици преди крайния срок.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10-дневен срок от получаването им, но не по-късно от две седмици преди изтичането на срока за кандидатстване“</w:t>
      </w:r>
    </w:p>
    <w:p>
      <w:r>
        <w:rPr>
          <w:b/>
          <w:bCs/>
        </w:rPr>
        <w:t xml:space="preserve">Уведомяване за нова получена помощ: </w:t>
      </w:r>
      <w:r>
        <w:t xml:space="preserve">Ако получената държавна или минимална помощ се промени след подаването, фирмата подава нова декларация в 5 работни дни.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срок от 5 (пет) работни дни посредством модул „Комуникация с УО“ в ИСУН“</w:t>
      </w:r>
    </w:p>
    <w:p>
      <w:r>
        <w:rPr>
          <w:b/>
          <w:bCs/>
        </w:rPr>
        <w:t xml:space="preserve">Документи за сключване на договор: </w:t>
      </w:r>
      <w:r>
        <w:t xml:space="preserve">Одобрените кандидати представят документите за договор в 30-дневен срок.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„се поканват да представят в 30-дневен срок доказателства, че отговарят на изискванията за бенефициент“</w:t>
      </w:r>
    </w:p>
    <w:p>
      <w:pPr>
        <w:pStyle w:val="Heading1"/>
      </w:pPr>
      <w:r>
        <w:t xml:space="preserve">Как се оценява проектът</w:t>
      </w:r>
    </w:p>
    <w:p>
      <w:pPr>
        <w:pStyle w:val="Heading3"/>
      </w:pPr>
      <w:r>
        <w:t xml:space="preserve">Степен, в която зелените технологии обхващат етапите от жизнения цикъл на продуктите или услугите. (до 10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Максималните 10 точки се дават, когато инвестицията се прилага в етапа на проектиране и дизайн и в поне още един етап: производство, потребление или край на употребата. Опишете това ясно в третото поле на раздела за допълнителна информация.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„1. Степен на интегриране на въвежданите зелени технологии в етапите от жизнения цикъл на продуктите/услугите“</w:t>
      </w:r>
    </w:p>
    <w:p>
      <w:pPr>
        <w:pStyle w:val="Heading3"/>
      </w:pPr>
      <w:r>
        <w:t xml:space="preserve">Принос на зелените технологии към ключови области на кръговата икономика. (до 5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Получавате точките, ако инвестицията въвежда поне един от изброените модели: заместване или намаляване на опасни вещества, продукти изцяло от суровини с биологичен произход, по-малко отпадъчни води за единица продукт или модела продукт като услуга.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„2. Принос на въвежданите зелени технологии към ключови области за създаване на стойност в кръговата икономика“</w:t>
      </w:r>
    </w:p>
    <w:p>
      <w:pPr>
        <w:pStyle w:val="Heading3"/>
      </w:pPr>
      <w:r>
        <w:t xml:space="preserve">Принос на проекта за преработка на излезли от употреба продукти. (до 5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Точките се дават само ако технологията преработва излезли от употреба батерии, електроника, текстил или строителни материали.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„Инвестицията (придобиваният/те актив/и) осигурява въвеждането на зелена/и технология/и, свързана/и с преработка на излезли от употреба: батерии и акумулатори/ електроника и електрическо оборудване/ текстилни изделия /материали от строителството.“</w:t>
      </w:r>
    </w:p>
    <w:p>
      <w:pPr>
        <w:pStyle w:val="Heading3"/>
      </w:pPr>
      <w:r>
        <w:t xml:space="preserve">Претеглен коефициент на рентабилност по печалба преди лихви, данъци и амортизации за 2023, 2024 и 2025 година, с тежести 20, 30 и 50 процента. (до 10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Най-много точки има при коефициент над 15 и до 18 процента. Изчислете го предварително по формулата от методиката, като 2025 година тежи най-много.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„Претегленият коефициент на рентабилност на EBITDA на кандидата е &gt; 15% и ≤ 18%“</w:t>
      </w:r>
    </w:p>
    <w:p>
      <w:pPr>
        <w:pStyle w:val="Heading3"/>
      </w:pPr>
      <w:r>
        <w:t xml:space="preserve">Претеглен коефициент на брутна добавена стойност за 2023, 2024 и 2025 година. (до 10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Максимумът се дава при коефициент над 30 и до 35 процента. Изчислете го предварително от отчетите за приходите и разходите.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„Претегленият коефициент на брутната добавена стойност на кандидата е &gt; 30% и ≤ 35%“</w:t>
      </w:r>
    </w:p>
    <w:p>
      <w:pPr>
        <w:pStyle w:val="Heading3"/>
      </w:pPr>
      <w:r>
        <w:t xml:space="preserve">Претеглен коефициент на разходите за данъци спрямо приходите за 2023, 2024 и 2025 година. (до 3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Пълните 3 точки се дават при коефициент над 1,2 процента.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„Претегленият коефициент на разходите за данъци спрямо реализираните приходи е &gt; 1,2%.“</w:t>
      </w:r>
    </w:p>
    <w:p>
      <w:pPr>
        <w:pStyle w:val="Heading3"/>
      </w:pPr>
      <w:r>
        <w:t xml:space="preserve">Съпоставимост между претеглената печалба преди лихви, данъци и амортизации и общите допустими разходи по проекта. (до 5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Пълните 5 точки се получават, ако удвоената претеглена печалба надвишава бюджета на проекта. Затова съобразете размера на бюджета с печалбата на фирмата.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„Претеглената стойност на EBITDA за 2023 г., 2024 г. и 2025 г. на кандидата, умножена по 2, е по-голяма от стойността на заявените общи допустими разходи по проекта (в хил. лева)“</w:t>
      </w:r>
    </w:p>
    <w:p>
      <w:pPr>
        <w:pStyle w:val="Heading3"/>
      </w:pPr>
      <w:r>
        <w:t xml:space="preserve">Проект, изпълняван в общини с одобрени концепции за интегрирани териториални инвестиции. (до 10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Точките се дават, ако поне половината от разходите в бюджета са за място на изпълнение в някоя от изброените общини.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„Минимум 50% от инвестицията (съгласно заявените разходи в бюджета) се реализира на територията на общините: Враца, Ловеч, Лом, Видин, Монтана, Силистра“</w:t>
      </w:r>
    </w:p>
    <w:p>
      <w:pPr>
        <w:pStyle w:val="Heading3"/>
      </w:pPr>
      <w:r>
        <w:t xml:space="preserve">Приоритизация според Националната стратегия за малките и средните предприятия 2021 до 2030 година. (до 3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Точките се дават, ако кодът на дейността, за която кандидатствате, е сред изброените приоритетни сектори. Примери са производство на електрически съоръжения, производство на машини и дейности в областта на информационните технологии.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„2. Приоритизация съгласно Националната стратегия за малките и средните предприятия 2021-2030 г.“</w:t>
      </w:r>
    </w:p>
    <w:p>
      <w:pPr>
        <w:pStyle w:val="Heading3"/>
      </w:pPr>
      <w:r>
        <w:t xml:space="preserve">Регионална приоритизация според седалището и мястото на изпълнение. (до 5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Пълните 5 точки се дават, когато и седалището, и инвестицията са в първата група изброени области. Ако само инвестицията е там, точките са 4.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„Предприятието-кандидат е регистрирано (има седалище) на територията на областите: Хасково, Силистра, Сливен, Кюстендил, Видин, Монтана, Кърджали, Перник“</w:t>
      </w:r>
    </w:p>
    <w:p>
      <w:pPr>
        <w:pStyle w:val="Heading3"/>
      </w:pPr>
      <w:r>
        <w:t xml:space="preserve">Въведени екологични стандарти, включително Екомаркировката на Европейския съюз. (до 2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Приложете валиден сертификат за вече въведен стандарт или включете в проекта Дейност 2 за такъв стандарт.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„Кандидатът е въвел ИЛИ е включил по проекта дейност за постигане на съответствие с един или повече от следните екологични стандарти, вкл. Екомаркировката на ЕС:“</w:t>
      </w:r>
    </w:p>
    <w:p>
      <w:pPr>
        <w:pStyle w:val="Heading3"/>
      </w:pPr>
      <w:r>
        <w:t xml:space="preserve">Бюджет на проекта. Всички разходи трябва да са допустими, обосновани, подкрепени с оферти по пазарни цени, в рамките на праговете и коректно попълнени. (до 5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За пълните 5 точки обосновете всеки актив с кръговия модел, приложете оферта за всеки актив и спазете праговете, за да няма никакви корекции в бюджета.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„В случай че проектното предложение получи „0” точки по критерий „Бюджет на проекта”, то се отхвърля!“</w:t>
      </w:r>
    </w:p>
    <w:p>
      <w:pPr>
        <w:pStyle w:val="Heading3"/>
      </w:pPr>
      <w:r>
        <w:t xml:space="preserve">Минимален праг за класиране след техническата и финансова оценка, от общо 73 възможни точки. (минимум 22 точки)</w:t>
      </w:r>
    </w:p>
    <w:p>
      <w:r>
        <w:rPr>
          <w:b/>
          <w:bCs/>
        </w:rPr>
        <w:t xml:space="preserve">Как да вземете повече точки: </w:t>
      </w:r>
      <w:r>
        <w:t xml:space="preserve">Съберете колкото може повече точки над прага, защото класирането е в низходящ ред до изчерпване на бюджета.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„Проектни предложения, които са получили по-малко от 22 точки по критериите за техническа и финансова оценка, се отхвърлят.“</w:t>
      </w:r>
    </w:p>
    <w:p>
      <w:pPr>
        <w:pStyle w:val="Heading1"/>
      </w:pPr>
      <w:r>
        <w:t xml:space="preserve">Формулярът в ИСУН раздел по раздел</w:t>
      </w:r>
    </w:p>
    <w:p>
      <w:r>
        <w:t xml:space="preserve">Формулярът за кандидатстване се попълва онлайн в ИСУН, модул „Е-кандидатстване“. Разделите и указанията по-долу са от документите на тази процедура.</w:t>
      </w:r>
    </w:p>
    <w:p>
      <w:pPr>
        <w:pStyle w:val="Heading2"/>
      </w:pPr>
      <w:r>
        <w:t xml:space="preserve">Основни данни</w:t>
      </w:r>
    </w:p>
    <w:p>
      <w:r>
        <w:t xml:space="preserve">Раздел 1, Основни данни: срок на проекта, място на изпълнение, допустимост на данъка добавена стойност, режим на помощ и кратко описание.</w:t>
      </w:r>
    </w:p>
    <w:p>
      <w:pPr>
        <w:pStyle w:val="ListParagraph"/>
        <w:numPr>
          <w:ilvl w:val="0"/>
          <w:numId w:val="2"/>
        </w:numPr>
      </w:pPr>
      <w:r>
        <w:t xml:space="preserve">Срокът е от 1 до 12 месеца. По-дълъг срок системата сама променя на 12.</w:t>
      </w:r>
    </w:p>
    <w:p>
      <w:pPr>
        <w:pStyle w:val="ListParagraph"/>
        <w:numPr>
          <w:ilvl w:val="0"/>
          <w:numId w:val="2"/>
        </w:numPr>
      </w:pPr>
      <w:r>
        <w:t xml:space="preserve">Мястото на изпълнение е адресът на проекта, а не седалището. Попълнете улица и номер.</w:t>
      </w:r>
    </w:p>
    <w:p>
      <w:pPr>
        <w:pStyle w:val="ListParagraph"/>
        <w:numPr>
          <w:ilvl w:val="0"/>
          <w:numId w:val="2"/>
        </w:numPr>
      </w:pPr>
      <w:r>
        <w:t xml:space="preserve">Всички места на изпълнение трябва да са само в една от трите категории региони, иначе проектът се отхвърля.</w:t>
      </w:r>
    </w:p>
    <w:p>
      <w:pPr>
        <w:pStyle w:val="ListParagraph"/>
        <w:numPr>
          <w:ilvl w:val="0"/>
          <w:numId w:val="2"/>
        </w:numPr>
      </w:pPr>
      <w:r>
        <w:t xml:space="preserve">Ако данъкът добавена стойност ви се възстановява, маркирайте Не.</w:t>
      </w:r>
    </w:p>
    <w:p>
      <w:pPr>
        <w:pStyle w:val="ListParagraph"/>
        <w:numPr>
          <w:ilvl w:val="0"/>
          <w:numId w:val="2"/>
        </w:numPr>
      </w:pPr>
      <w:r>
        <w:t xml:space="preserve">При регионална инвестиционна помощ изберете Да за държавна помощ. При минимална помощ изберете Да за минимални помощи.</w:t>
      </w:r>
    </w:p>
    <w:p>
      <w:pPr>
        <w:pStyle w:val="ListParagraph"/>
        <w:numPr>
          <w:ilvl w:val="0"/>
          <w:numId w:val="2"/>
        </w:numPr>
      </w:pPr>
      <w:r>
        <w:t xml:space="preserve">Попълнете краткото описание на български и английски език, както и целите.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„Срокът на изпълнение на проектите по настоящата процедура може да бъде от 1 (един) до 12 (дванадесет) месеца.“</w:t>
      </w:r>
    </w:p>
    <w:p>
      <w:pPr>
        <w:pStyle w:val="Heading2"/>
      </w:pPr>
      <w:r>
        <w:t xml:space="preserve">Данни за кандидата</w:t>
      </w:r>
    </w:p>
    <w:p>
      <w:r>
        <w:t xml:space="preserve">Раздел 2, Данни за кандидата: данните се изтеглят по единния идентификационен код от Търговския регистър. Ръчно се попълват категорията на предприятието и действителните собственици.</w:t>
      </w:r>
    </w:p>
    <w:p>
      <w:r>
        <w:t xml:space="preserve">Данните на фирмата, които сте въвели в помощника:</w:t>
      </w:r>
    </w:p>
    <w:p>
      <w:r>
        <w:rPr>
          <w:b/>
          <w:bCs/>
        </w:rPr>
        <w:t xml:space="preserve">Наименование: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ЕИК: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Седалище и адрес: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Представляващ: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Длъжност: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Имейл: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Телефон: </w:t>
      </w:r>
      <w:r>
        <w:t xml:space="preserve">попълнете — не е въведено в помощника</w:t>
      </w:r>
    </w:p>
    <w:p>
      <w:r>
        <w:rPr>
          <w:b/>
          <w:bCs/>
        </w:rPr>
        <w:t xml:space="preserve">Размер на предприятието: </w:t>
      </w:r>
      <w:r>
        <w:t xml:space="preserve">попълнете — не е въведено в помощника</w:t>
      </w:r>
    </w:p>
    <w:p>
      <w:pPr>
        <w:pStyle w:val="ListParagraph"/>
        <w:numPr>
          <w:ilvl w:val="0"/>
          <w:numId w:val="2"/>
        </w:numPr>
      </w:pPr>
      <w:r>
        <w:t xml:space="preserve">Ако изтеглените данни са неактуални, коригирайте ги ръчно.</w:t>
      </w:r>
    </w:p>
    <w:p>
      <w:pPr>
        <w:pStyle w:val="ListParagraph"/>
        <w:numPr>
          <w:ilvl w:val="0"/>
          <w:numId w:val="2"/>
        </w:numPr>
      </w:pPr>
      <w:r>
        <w:t xml:space="preserve">Изберете от менюто категорията: микро, малко или средно предприятие.</w:t>
      </w:r>
    </w:p>
    <w:p>
      <w:pPr>
        <w:pStyle w:val="ListParagraph"/>
        <w:numPr>
          <w:ilvl w:val="0"/>
          <w:numId w:val="2"/>
        </w:numPr>
      </w:pPr>
      <w:r>
        <w:t xml:space="preserve">Полетата за кодове по старата класификация от 2008 година не се попълват.</w:t>
      </w:r>
    </w:p>
    <w:p>
      <w:pPr>
        <w:pStyle w:val="ListParagraph"/>
        <w:numPr>
          <w:ilvl w:val="0"/>
          <w:numId w:val="2"/>
        </w:numPr>
      </w:pPr>
      <w:r>
        <w:t xml:space="preserve">Добавете действителните собственици с име, единен граждански номер или личен номер на чужденец и дата на раждане.</w:t>
      </w:r>
    </w:p>
    <w:p>
      <w:pPr>
        <w:pStyle w:val="ListParagraph"/>
        <w:numPr>
          <w:ilvl w:val="0"/>
          <w:numId w:val="2"/>
        </w:numPr>
      </w:pPr>
      <w:r>
        <w:t xml:space="preserve">Електронната поща се взима от профила, от който подавате. Подавайте винаги от един и същ профил.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„В ИСУН е включена връзка с Търговския регистър и регистъра на ЮЛНЦ, като при въвеждане на ЕИК на предприятието системата автоматично извлича данните на съответния кандидат:“</w:t>
      </w:r>
    </w:p>
    <w:p>
      <w:pPr>
        <w:pStyle w:val="Heading2"/>
      </w:pPr>
      <w:r>
        <w:t xml:space="preserve">План за изпълнение / Дейности по проекта</w:t>
      </w:r>
    </w:p>
    <w:p>
      <w:r>
        <w:t xml:space="preserve">Раздел 3, План за изпълнение и дейности: описание на Дейност 1 и, по желание, на Дейност 2.</w:t>
      </w:r>
    </w:p>
    <w:p>
      <w:pPr>
        <w:pStyle w:val="ListParagraph"/>
        <w:numPr>
          <w:ilvl w:val="0"/>
          <w:numId w:val="2"/>
        </w:numPr>
      </w:pPr>
      <w:r>
        <w:t xml:space="preserve">Озаглавете дейността според кръговия модел, който въвеждате.</w:t>
      </w:r>
    </w:p>
    <w:p>
      <w:pPr>
        <w:pStyle w:val="ListParagraph"/>
        <w:numPr>
          <w:ilvl w:val="0"/>
          <w:numId w:val="2"/>
        </w:numPr>
      </w:pPr>
      <w:r>
        <w:t xml:space="preserve">Обосновете за всеки актив или група активи как въвежда кръгов модел. Без обосновка разходът се премахва.</w:t>
      </w:r>
    </w:p>
    <w:p>
      <w:pPr>
        <w:pStyle w:val="ListParagraph"/>
        <w:numPr>
          <w:ilvl w:val="0"/>
          <w:numId w:val="2"/>
        </w:numPr>
      </w:pPr>
      <w:r>
        <w:t xml:space="preserve">Изборът на изпълнител, доставката и сформирането на екип не са отделни дейности.</w:t>
      </w:r>
    </w:p>
    <w:p>
      <w:pPr>
        <w:pStyle w:val="ListParagraph"/>
        <w:numPr>
          <w:ilvl w:val="0"/>
          <w:numId w:val="2"/>
        </w:numPr>
      </w:pPr>
      <w:r>
        <w:t xml:space="preserve">В поле Резултат не пишете придобиването на активи, а конкретни количествени резултати.</w:t>
      </w:r>
    </w:p>
    <w:p>
      <w:pPr>
        <w:pStyle w:val="ListParagraph"/>
        <w:numPr>
          <w:ilvl w:val="0"/>
          <w:numId w:val="2"/>
        </w:numPr>
      </w:pPr>
      <w:r>
        <w:t xml:space="preserve">Само Дейност 2 без Дейност 1 е недопустимо.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„Допълнително, дейността следва да бъде разписна по начин, от който да е видно как всеки отделен актив, предвиден за придобиване по проекта осигурява въвеждането на един или повече от кръговите модели“</w:t>
      </w:r>
    </w:p>
    <w:p>
      <w:pPr>
        <w:pStyle w:val="Heading2"/>
      </w:pPr>
      <w:r>
        <w:t xml:space="preserve">Индикатори</w:t>
      </w:r>
    </w:p>
    <w:p>
      <w:r>
        <w:t xml:space="preserve">Раздел 4, Индикатори: избор на задължителните индикатори и попълване на целевата стойност на частните инвестиции.</w:t>
      </w:r>
    </w:p>
    <w:p>
      <w:pPr>
        <w:pStyle w:val="ListParagraph"/>
        <w:numPr>
          <w:ilvl w:val="0"/>
          <w:numId w:val="2"/>
        </w:numPr>
      </w:pPr>
      <w:r>
        <w:t xml:space="preserve">Първо въведете мястото на изпълнение в Основни данни, за да се покажат правилните индикатори.</w:t>
      </w:r>
    </w:p>
    <w:p>
      <w:pPr>
        <w:pStyle w:val="ListParagraph"/>
        <w:numPr>
          <w:ilvl w:val="0"/>
          <w:numId w:val="2"/>
        </w:numPr>
      </w:pPr>
      <w:r>
        <w:t xml:space="preserve">За частните инвестиции въведете като целева стойност собственото финансиране в евро от бюджета.</w:t>
      </w:r>
    </w:p>
    <w:p>
      <w:pPr>
        <w:pStyle w:val="ListParagraph"/>
        <w:numPr>
          <w:ilvl w:val="0"/>
          <w:numId w:val="2"/>
        </w:numPr>
      </w:pPr>
      <w:r>
        <w:t xml:space="preserve">Изберете задължително индикаторите за ресурсна ефективност, подпомагани предприятия и подпомагани предприятия чрез безвъзмездни средства.</w:t>
      </w:r>
    </w:p>
    <w:p>
      <w:pPr>
        <w:pStyle w:val="ListParagraph"/>
        <w:numPr>
          <w:ilvl w:val="0"/>
          <w:numId w:val="2"/>
        </w:numPr>
      </w:pPr>
      <w:r>
        <w:t xml:space="preserve">Индикаторът за управление на отпадъците изберете само при модели от Направление 1. Индикатора за промишлена симбиоза изберете само ако е приложим.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„Данните, които кандидатът следва да попълни са по отношение на полето „Целева стойност““</w:t>
      </w:r>
    </w:p>
    <w:p>
      <w:pPr>
        <w:pStyle w:val="Heading2"/>
      </w:pPr>
      <w:r>
        <w:t xml:space="preserve">Финансова информация – кодове по измерения</w:t>
      </w:r>
    </w:p>
    <w:p>
      <w:r>
        <w:t xml:space="preserve">Раздел 5, Финансова информация, кодове по измерения: икономическа дейност, режим на помощ, област на интервенция и териториален механизъм.</w:t>
      </w:r>
    </w:p>
    <w:p>
      <w:pPr>
        <w:pStyle w:val="ListParagraph"/>
        <w:numPr>
          <w:ilvl w:val="0"/>
          <w:numId w:val="2"/>
        </w:numPr>
      </w:pPr>
      <w:r>
        <w:t xml:space="preserve">Кодовете за икономическа дейност тук са различни от националната класификация на икономическите дейности от 2025 година.</w:t>
      </w:r>
    </w:p>
    <w:p>
      <w:pPr>
        <w:pStyle w:val="ListParagraph"/>
        <w:numPr>
          <w:ilvl w:val="0"/>
          <w:numId w:val="2"/>
        </w:numPr>
      </w:pPr>
      <w:r>
        <w:t xml:space="preserve">При регионална помощ по Елемент I и минимална помощ по Елемент II изберете и двата режима.</w:t>
      </w:r>
    </w:p>
    <w:p>
      <w:pPr>
        <w:pStyle w:val="ListParagraph"/>
        <w:numPr>
          <w:ilvl w:val="0"/>
          <w:numId w:val="2"/>
        </w:numPr>
      </w:pPr>
      <w:r>
        <w:t xml:space="preserve">Ако има разминаване, водещ е режимът, посочен в този раздел.</w:t>
      </w:r>
    </w:p>
    <w:p>
      <w:pPr>
        <w:pStyle w:val="ListParagraph"/>
        <w:numPr>
          <w:ilvl w:val="0"/>
          <w:numId w:val="2"/>
        </w:numPr>
      </w:pPr>
      <w:r>
        <w:t xml:space="preserve">Област 069 се избира при модели от Направление 1, управление на отпадъците.</w:t>
      </w:r>
    </w:p>
    <w:p>
      <w:pPr>
        <w:pStyle w:val="ListParagraph"/>
        <w:numPr>
          <w:ilvl w:val="0"/>
          <w:numId w:val="2"/>
        </w:numPr>
      </w:pPr>
      <w:r>
        <w:t xml:space="preserve">Код 08 се избира, ако мястото е в община с одобрена концепция за интегрирани териториални инвестиции. В останалите случаи изберете код 33.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„В това поле следва да изберете само ЕДИН от кодовете на икономическа дейност от падащото меню, в зависимост от дейността, за която кандидатствате.“</w:t>
      </w:r>
    </w:p>
    <w:p>
      <w:pPr>
        <w:pStyle w:val="Heading2"/>
      </w:pPr>
      <w:r>
        <w:t xml:space="preserve">Бюджет</w:t>
      </w:r>
    </w:p>
    <w:p>
      <w:r>
        <w:t xml:space="preserve">Раздел 6, Бюджет: разходи на три нива, детайли за всеки ред, интензитет и стойности в евро.</w:t>
      </w:r>
    </w:p>
    <w:p>
      <w:pPr>
        <w:pStyle w:val="ListParagraph"/>
        <w:numPr>
          <w:ilvl w:val="0"/>
          <w:numId w:val="2"/>
        </w:numPr>
      </w:pPr>
      <w:r>
        <w:t xml:space="preserve">Еднакви активи с една и съща цена са на един ред с посочен брой. Активи с различна цена са на отделни редове.</w:t>
      </w:r>
    </w:p>
    <w:p>
      <w:pPr>
        <w:pStyle w:val="ListParagraph"/>
        <w:numPr>
          <w:ilvl w:val="0"/>
          <w:numId w:val="2"/>
        </w:numPr>
      </w:pPr>
      <w:r>
        <w:t xml:space="preserve">В Детайли за всеки ред изберете дейност, място, всички приложими индикатори и режим на помощ.</w:t>
      </w:r>
    </w:p>
    <w:p>
      <w:pPr>
        <w:pStyle w:val="ListParagraph"/>
        <w:numPr>
          <w:ilvl w:val="0"/>
          <w:numId w:val="2"/>
        </w:numPr>
      </w:pPr>
      <w:r>
        <w:t xml:space="preserve">Първо въведете процента на помощта на второ ниво, после стойностите на трето ниво.</w:t>
      </w:r>
    </w:p>
    <w:p>
      <w:pPr>
        <w:pStyle w:val="ListParagraph"/>
        <w:numPr>
          <w:ilvl w:val="0"/>
          <w:numId w:val="2"/>
        </w:numPr>
      </w:pPr>
      <w:r>
        <w:t xml:space="preserve">При помощ под 77 000 евро системата не позволява подаване.</w:t>
      </w:r>
    </w:p>
    <w:p>
      <w:pPr>
        <w:pStyle w:val="ListParagraph"/>
        <w:numPr>
          <w:ilvl w:val="0"/>
          <w:numId w:val="2"/>
        </w:numPr>
      </w:pPr>
      <w:r>
        <w:t xml:space="preserve">Софтуерът е до 90 000 евро, а услугите за екологични стандарти са до 15 000 евро.</w:t>
      </w:r>
    </w:p>
    <w:p>
      <w:pPr>
        <w:pStyle w:val="ListParagraph"/>
        <w:numPr>
          <w:ilvl w:val="0"/>
          <w:numId w:val="2"/>
        </w:numPr>
      </w:pPr>
      <w:r>
        <w:t xml:space="preserve">Не комбинирайте двата режима на помощ в Елемент I.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„ВАЖНО: В бюджета не се посочват марки, модели и технически характеристики и други указващи/насочващи белези към конкретен актив или доставчик.“</w:t>
      </w:r>
    </w:p>
    <w:p>
      <w:pPr>
        <w:pStyle w:val="Heading2"/>
      </w:pPr>
      <w:r>
        <w:t xml:space="preserve">Финансова информация – финансиране по организация</w:t>
      </w:r>
    </w:p>
    <w:p>
      <w:r>
        <w:t xml:space="preserve">Раздел 7, Финансиране по организация: нищо не се попълва.</w:t>
      </w:r>
    </w:p>
    <w:p>
      <w:pPr>
        <w:pStyle w:val="ListParagraph"/>
        <w:numPr>
          <w:ilvl w:val="0"/>
          <w:numId w:val="2"/>
        </w:numPr>
      </w:pPr>
      <w:r>
        <w:t xml:space="preserve">Оставете раздела празен.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„В тази точка кандидатите не следва да попълват никаква информация.“</w:t>
      </w:r>
    </w:p>
    <w:p>
      <w:pPr>
        <w:pStyle w:val="Heading2"/>
      </w:pPr>
      <w:r>
        <w:t xml:space="preserve">План за външно възлагане</w:t>
      </w:r>
    </w:p>
    <w:p>
      <w:r>
        <w:t xml:space="preserve">Раздел 8, План за външно възлагане: изпълнителите, които ще бъдат избрани.</w:t>
      </w:r>
    </w:p>
    <w:p>
      <w:pPr>
        <w:pStyle w:val="ListParagraph"/>
        <w:numPr>
          <w:ilvl w:val="0"/>
          <w:numId w:val="2"/>
        </w:numPr>
      </w:pPr>
      <w:r>
        <w:t xml:space="preserve">Посочете процедурите за избор на изпълнители и ги включете в срока на дейностите.</w:t>
      </w:r>
    </w:p>
    <w:p>
      <w:pPr>
        <w:pStyle w:val="ListParagraph"/>
        <w:numPr>
          <w:ilvl w:val="0"/>
          <w:numId w:val="2"/>
        </w:numPr>
      </w:pPr>
      <w:r>
        <w:t xml:space="preserve">Изпълнителите не са партньори по проекта.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„Без значение от интензитета на помощта, бенефициентът, сключил административен договор за предоставяне на безвъзмездна финансова помощ (АДПБФП) по настоящата процедура трябва да определи изпълнител/и след провеждане на процедура/и за избор с публична покана“</w:t>
      </w:r>
    </w:p>
    <w:p>
      <w:pPr>
        <w:pStyle w:val="Heading2"/>
      </w:pPr>
      <w:r>
        <w:t xml:space="preserve">Допълнителна информация, необходима за оценка на проектното предложение</w:t>
      </w:r>
    </w:p>
    <w:p>
      <w:r>
        <w:t xml:space="preserve">Раздел 9, Допълнителна информация за оценката: описание на дейността и процеса, вид първоначална инвестиция, етапи от жизнения цикъл и информация за критериите.</w:t>
      </w:r>
    </w:p>
    <w:p>
      <w:pPr>
        <w:pStyle w:val="ListParagraph"/>
        <w:numPr>
          <w:ilvl w:val="0"/>
          <w:numId w:val="2"/>
        </w:numPr>
      </w:pPr>
      <w:r>
        <w:t xml:space="preserve">Първото поле е задължително. Описаната дейност трябва да съответства на кода, посочен в Е-декларации.</w:t>
      </w:r>
    </w:p>
    <w:p>
      <w:pPr>
        <w:pStyle w:val="ListParagraph"/>
        <w:numPr>
          <w:ilvl w:val="0"/>
          <w:numId w:val="2"/>
        </w:numPr>
      </w:pPr>
      <w:r>
        <w:t xml:space="preserve">Второто поле е задължително при регионална помощ: посочете вида първоначална инвестиция, а ако са няколко, коя е водеща.</w:t>
      </w:r>
    </w:p>
    <w:p>
      <w:pPr>
        <w:pStyle w:val="ListParagraph"/>
        <w:numPr>
          <w:ilvl w:val="0"/>
          <w:numId w:val="2"/>
        </w:numPr>
      </w:pPr>
      <w:r>
        <w:t xml:space="preserve">Третото поле е задължително: опишете в кои етапи от жизнения цикъл се прилага инвестицията.</w:t>
      </w:r>
    </w:p>
    <w:p>
      <w:pPr>
        <w:pStyle w:val="ListParagraph"/>
        <w:numPr>
          <w:ilvl w:val="0"/>
          <w:numId w:val="2"/>
        </w:numPr>
      </w:pPr>
      <w:r>
        <w:t xml:space="preserve">Полета 4 и 5 служат за техническата и финансова оценка.</w:t>
      </w:r>
    </w:p>
    <w:p>
      <w:pPr>
        <w:pStyle w:val="ListParagraph"/>
        <w:numPr>
          <w:ilvl w:val="0"/>
          <w:numId w:val="2"/>
        </w:numPr>
      </w:pPr>
      <w:r>
        <w:t xml:space="preserve">Ако вече имате екологичен стандарт, опишете го тук.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„Първото поле се попълва ЗАДЪЛЖИТЕЛНО от всички кандидати“</w:t>
      </w:r>
    </w:p>
    <w:p>
      <w:pPr>
        <w:pStyle w:val="Heading2"/>
      </w:pPr>
      <w:r>
        <w:t xml:space="preserve">Служебни документи</w:t>
      </w:r>
    </w:p>
    <w:p>
      <w:r>
        <w:t xml:space="preserve">Раздел 10, Служебни документи: съгласие за ползване на данни от електронни регистри.</w:t>
      </w:r>
    </w:p>
    <w:p>
      <w:pPr>
        <w:pStyle w:val="ListParagraph"/>
        <w:numPr>
          <w:ilvl w:val="0"/>
          <w:numId w:val="2"/>
        </w:numPr>
      </w:pPr>
      <w:r>
        <w:t xml:space="preserve">Отметнете всяко от полетата за съгласие.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„С цел намаляване на административната тежест, е предвидено посочените справки за кандидата да бъдат автоматично генерирани чрез ИСУН.“</w:t>
      </w:r>
    </w:p>
    <w:p>
      <w:pPr>
        <w:pStyle w:val="Heading2"/>
      </w:pPr>
      <w:r>
        <w:t xml:space="preserve">Е-декларации</w:t>
      </w:r>
    </w:p>
    <w:p>
      <w:r>
        <w:t xml:space="preserve">Раздел 11, Е-декларации: електронни декларации, код на дейността и банкова сметка.</w:t>
      </w:r>
    </w:p>
    <w:p>
      <w:pPr>
        <w:pStyle w:val="ListParagraph"/>
        <w:numPr>
          <w:ilvl w:val="0"/>
          <w:numId w:val="2"/>
        </w:numPr>
      </w:pPr>
      <w:r>
        <w:t xml:space="preserve">Декларациите тук се потвърждават, когато подава официален представляващ със своя квалифициран електронен подпис.</w:t>
      </w:r>
    </w:p>
    <w:p>
      <w:pPr>
        <w:pStyle w:val="ListParagraph"/>
        <w:numPr>
          <w:ilvl w:val="0"/>
          <w:numId w:val="2"/>
        </w:numPr>
      </w:pPr>
      <w:r>
        <w:t xml:space="preserve">Задължително изберете четиризначния код на дейността, за която кандидатствате.</w:t>
      </w:r>
    </w:p>
    <w:p>
      <w:pPr>
        <w:pStyle w:val="ListParagraph"/>
        <w:numPr>
          <w:ilvl w:val="0"/>
          <w:numId w:val="2"/>
        </w:numPr>
      </w:pPr>
      <w:r>
        <w:t xml:space="preserve">Проверете, че кодът не е сред недопустимите, иначе проектът се отхвърля.</w:t>
      </w:r>
    </w:p>
    <w:p>
      <w:pPr>
        <w:pStyle w:val="ListParagraph"/>
        <w:numPr>
          <w:ilvl w:val="0"/>
          <w:numId w:val="2"/>
        </w:numPr>
      </w:pPr>
      <w:r>
        <w:t xml:space="preserve">Задължително попълнете банковата сметка в международен формат.</w:t>
      </w:r>
    </w:p>
    <w:p>
      <w:pPr>
        <w:pStyle w:val="ListParagraph"/>
        <w:numPr>
          <w:ilvl w:val="0"/>
          <w:numId w:val="2"/>
        </w:numPr>
      </w:pPr>
      <w:r>
        <w:t xml:space="preserve">Данните трябва да съвпадат с тези в прикачените декларации, ако има такива.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„„Информация за код на проекта по КИД-2025 на НСИ” – ЗАДЪЛЖИТЕЛНА за попълване.“</w:t>
      </w:r>
    </w:p>
    <w:p>
      <w:pPr>
        <w:pStyle w:val="Heading2"/>
      </w:pPr>
      <w:r>
        <w:t xml:space="preserve">Прикачени документи</w:t>
      </w:r>
    </w:p>
    <w:p>
      <w:r>
        <w:t xml:space="preserve">Раздел 12, Прикачени документи: прикачване на всички приложими документи.</w:t>
      </w:r>
    </w:p>
    <w:p>
      <w:pPr>
        <w:pStyle w:val="ListParagraph"/>
        <w:numPr>
          <w:ilvl w:val="0"/>
          <w:numId w:val="2"/>
        </w:numPr>
      </w:pPr>
      <w:r>
        <w:t xml:space="preserve">Документите се подписват на хартия и се сканират, или се подписват с квалифициран електронен подпис.</w:t>
      </w:r>
    </w:p>
    <w:p>
      <w:pPr>
        <w:pStyle w:val="ListParagraph"/>
        <w:numPr>
          <w:ilvl w:val="0"/>
          <w:numId w:val="2"/>
        </w:numPr>
      </w:pPr>
      <w:r>
        <w:t xml:space="preserve">При подаване от упълномощено лице прикачете пълномощното.</w:t>
      </w:r>
    </w:p>
    <w:p>
      <w:pPr>
        <w:pStyle w:val="ListParagraph"/>
        <w:numPr>
          <w:ilvl w:val="0"/>
          <w:numId w:val="2"/>
        </w:numPr>
      </w:pPr>
      <w:r>
        <w:t xml:space="preserve">Накрая натиснете бутона Провери формуляра за грешки и отстранете всички грешки, оцветени в червено.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„Кандидатите избират от падащото меню съответния приложим документ.“</w:t>
      </w:r>
    </w:p>
    <w:p>
      <w:pPr>
        <w:pStyle w:val="Heading1"/>
      </w:pPr>
      <w:r>
        <w:t xml:space="preserve">Документи за кандидатстване</w:t>
      </w:r>
    </w:p>
    <w:p>
      <w:pPr>
        <w:pStyle w:val="Heading3"/>
      </w:pPr>
      <w:r>
        <w:t xml:space="preserve">Изрично пълномощно за подаване (Приложение 1)</w:t>
      </w:r>
    </w:p>
    <w:p>
      <w:r>
        <w:t xml:space="preserve">Изрично пълномощно по образец, Приложение 1. Само ако проектът се подава от лице, което не е официален представляващ.</w:t>
      </w:r>
    </w:p>
    <w:p>
      <w:r>
        <w:rPr>
          <w:b/>
          <w:bCs/>
        </w:rPr>
        <w:t xml:space="preserve">Кой подписва: </w:t>
      </w:r>
      <w:r>
        <w:t xml:space="preserve">Официалният представляващ подписва на хартия, след което документът се сканира, или с квалифициран електронен подпис. Ако фирмата се представлява само заедно, подписват всички представляващи.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„Изричното пълномощно се попълва по образец (Приложение 1) и се подписва (на хартия или с валиден КЕП) от официалния представител на кандидата“</w:t>
      </w:r>
    </w:p>
    <w:p>
      <w:pPr>
        <w:pStyle w:val="Heading3"/>
      </w:pPr>
      <w:r>
        <w:t xml:space="preserve">Декларация при кандидатстване (Приложение 2)</w:t>
      </w:r>
    </w:p>
    <w:p>
      <w:r>
        <w:t xml:space="preserve">Декларация при кандидатстване по образец, Приложение 2.</w:t>
      </w:r>
    </w:p>
    <w:p>
      <w:r>
        <w:rPr>
          <w:b/>
          <w:bCs/>
        </w:rPr>
        <w:t xml:space="preserve">Кой подписва: </w:t>
      </w:r>
      <w:r>
        <w:t xml:space="preserve">Подписват всички официални представляващи, включително прокуристи, които не са подписали формуляра. Подписът е на хартия със сканиране или с квалифициран електронен подпис. Не може да се подписва чрез пълномощник.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„Декларацията по буква б) се попълва и подписва от ВСИЧКИ лица, които са официални представляващи на кандидата и са вписани като такива в ТР и регистъра на ЮЛНЦ (вкл. прокурист/и, ако е приложимо)“</w:t>
      </w:r>
    </w:p>
    <w:p>
      <w:pPr>
        <w:pStyle w:val="Heading3"/>
      </w:pPr>
      <w:r>
        <w:t xml:space="preserve">Електронни декларации вместо прикачени</w:t>
      </w:r>
    </w:p>
    <w:p>
      <w:r>
        <w:t xml:space="preserve">Ако фирмата има само един представляващ и той подава със своя подпис, декларациите по букви б, в и г не се прикачват, а се попълват в Е-декларации.</w:t>
      </w:r>
    </w:p>
    <w:p>
      <w:r>
        <w:rPr>
          <w:b/>
          <w:bCs/>
        </w:rPr>
        <w:t xml:space="preserve">Кой подписва: </w:t>
      </w:r>
      <w:r>
        <w:t xml:space="preserve">Потвърждават се в раздел Е-декларации от единствения представляващ, който подава с квалифициран електронен подпис.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случай че кандидатът има САМО един официален представляващ, вписан в ТР и регистъра на ЮЛНЦ, и проектното предложение се подава с негов валиден КЕП, декларациите по букви б), в) и г) НЕ е необходимо да се прилагат“</w:t>
      </w:r>
    </w:p>
    <w:p>
      <w:pPr>
        <w:pStyle w:val="Heading3"/>
      </w:pPr>
      <w:r>
        <w:t xml:space="preserve">Декларация за държавни/минимални помощи (Приложение 3)</w:t>
      </w:r>
    </w:p>
    <w:p>
      <w:r>
        <w:t xml:space="preserve">Декларация за държавни и минимални помощи по образец, Приложение 3.</w:t>
      </w:r>
    </w:p>
    <w:p>
      <w:r>
        <w:rPr>
          <w:b/>
          <w:bCs/>
        </w:rPr>
        <w:t xml:space="preserve">Кой подписва: </w:t>
      </w:r>
      <w:r>
        <w:t xml:space="preserve">Подписва официален представляващ. Ако фирмата се представлява само заедно, подписват всички. Подписът е на хартия със сканиране или с квалифициран електронен подпис, без пълномощник.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„в) Декларация за държавни/минимални помощи – попълнена по образец (Приложение 3), и свързаните с нея приложения, както следва:“</w:t>
      </w:r>
    </w:p>
    <w:p>
      <w:pPr>
        <w:pStyle w:val="Heading3"/>
      </w:pPr>
      <w:r>
        <w:t xml:space="preserve">Приложение 3.1 към декларацията за помощи</w:t>
      </w:r>
    </w:p>
    <w:p>
      <w:r>
        <w:t xml:space="preserve">Приложение 3.1 се попълва само при регионална помощ и получени преди това помощи или при свързани първоначални инвестиции в същата област.</w:t>
      </w:r>
    </w:p>
    <w:p>
      <w:r>
        <w:rPr>
          <w:b/>
          <w:bCs/>
        </w:rPr>
        <w:t xml:space="preserve">Кой подписва: </w:t>
      </w:r>
      <w:r>
        <w:t xml:space="preserve">Подписва се като Декларацията за държавни и минимални помощи.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„Приложение 3.1 към декларацията се попълва и представя САМО в случай, че кандидатът е избрал режим „регионална инвестиционна помощ” И е получавал държавна и/или минимална помощ“</w:t>
      </w:r>
    </w:p>
    <w:p>
      <w:pPr>
        <w:pStyle w:val="Heading3"/>
      </w:pPr>
      <w:r>
        <w:t xml:space="preserve">Приложение 3.2 към декларацията за помощи</w:t>
      </w:r>
    </w:p>
    <w:p>
      <w:r>
        <w:t xml:space="preserve">Приложение 3.2 се попълва само при минимална помощ и получена друга минимална помощ през предходните три години.</w:t>
      </w:r>
    </w:p>
    <w:p>
      <w:r>
        <w:rPr>
          <w:b/>
          <w:bCs/>
        </w:rPr>
        <w:t xml:space="preserve">Кой подписва: </w:t>
      </w:r>
      <w:r>
        <w:t xml:space="preserve">Подписва се като Декларацията за държавни и минимални помощи.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„Приложение 3.2 към декларацията се попълва и представя САМО в случай, че кандидатът е избрал режим „минимална помощ” (de minimis)“</w:t>
      </w:r>
    </w:p>
    <w:p>
      <w:pPr>
        <w:pStyle w:val="Heading3"/>
      </w:pPr>
      <w:r>
        <w:t xml:space="preserve">Приложение 3.3 към декларацията за помощи</w:t>
      </w:r>
    </w:p>
    <w:p>
      <w:r>
        <w:t xml:space="preserve">Приложение 3.3 се попълва само при регионална помощ и инвестиция за диверсификация на продукцията.</w:t>
      </w:r>
    </w:p>
    <w:p>
      <w:r>
        <w:rPr>
          <w:b/>
          <w:bCs/>
        </w:rPr>
        <w:t xml:space="preserve">Кой подписва: </w:t>
      </w:r>
      <w:r>
        <w:t xml:space="preserve">Подписва се като Декларацията за държавни и минимални помощи. Указания има в Приложение 3.3.А.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„Приложение 3.3 към декларацията се попълва и представя САМО в случай, че кандидатът е избрал режим „регионална инвестиционна помощ“ по Елемент I“</w:t>
      </w:r>
    </w:p>
    <w:p>
      <w:pPr>
        <w:pStyle w:val="Heading3"/>
      </w:pPr>
      <w:r>
        <w:t xml:space="preserve">Декларация по Закона за малките и средните предприятия (Приложение 4)</w:t>
      </w:r>
    </w:p>
    <w:p>
      <w:r>
        <w:t xml:space="preserve">Декларация за обстоятелствата по Закона за малките и средните предприятия, Приложение 4.</w:t>
      </w:r>
    </w:p>
    <w:p>
      <w:r>
        <w:rPr>
          <w:b/>
          <w:bCs/>
        </w:rPr>
        <w:t xml:space="preserve">Кой подписва: </w:t>
      </w:r>
      <w:r>
        <w:t xml:space="preserve">Подписва официален представляващ, а при представляване само заедно подписват всички. Подписът е на хартия със сканиране или с квалифициран електронен подпис, без пълномощник.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„г) Декларация за обстоятелствата по чл. 3 и чл. 4 от Закона за малките и средните предприятия – попълнена по образец (Приложение 4).“</w:t>
      </w:r>
    </w:p>
    <w:p>
      <w:pPr>
        <w:pStyle w:val="Heading3"/>
      </w:pPr>
      <w:r>
        <w:t xml:space="preserve">Техническа спецификация (Приложение 5)</w:t>
      </w:r>
    </w:p>
    <w:p>
      <w:r>
        <w:t xml:space="preserve">Техническа спецификация на активите по образец, Приложение 5, с минимални характеристики, без марки и модели.</w:t>
      </w:r>
    </w:p>
    <w:p>
      <w:r>
        <w:rPr>
          <w:b/>
          <w:bCs/>
        </w:rPr>
        <w:t xml:space="preserve">Кой подписва: </w:t>
      </w:r>
      <w:r>
        <w:t xml:space="preserve">В документите не е посочено изрично кой я подписва. Задължително се прикачва в раздел Прикачени документи.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Техническата спецификация кандидатите следва да посочат минимални технически и/или функционални характеристики на предвидените за придобиване активи (ДМА и/или ДНА)“</w:t>
      </w:r>
    </w:p>
    <w:p>
      <w:pPr>
        <w:pStyle w:val="Heading3"/>
      </w:pPr>
      <w:r>
        <w:t xml:space="preserve">Оферта за всеки актив</w:t>
      </w:r>
    </w:p>
    <w:p>
      <w:r>
        <w:t xml:space="preserve">Една оферта за всеки актив с цена, наименование на оферента, характеристики и валута.</w:t>
      </w:r>
    </w:p>
    <w:p>
      <w:r>
        <w:rPr>
          <w:b/>
          <w:bCs/>
        </w:rPr>
        <w:t xml:space="preserve">Кой подписва: </w:t>
      </w:r>
      <w:r>
        <w:t xml:space="preserve">Издава се от оферента. Трябва да е видно лицето, което я е издало, например чрез име, подпис, електронен подпис или прикачено електронно съобщение. Оферентът не може да е свързан с кандидата.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„Към Формуляра за кандидатстване следва да се представи една оферта за всяка отделна инвестиция в активи с предложена цена.“</w:t>
      </w:r>
    </w:p>
    <w:p>
      <w:pPr>
        <w:pStyle w:val="Heading3"/>
      </w:pPr>
      <w:r>
        <w:t xml:space="preserve">Счетоводна политика (незадължителна)</w:t>
      </w:r>
    </w:p>
    <w:p>
      <w:r>
        <w:t xml:space="preserve">Счетоводна политика с праг на същественост за дълготрайните активи. Документът не е задължителен.</w:t>
      </w:r>
    </w:p>
    <w:p>
      <w:r>
        <w:rPr>
          <w:b/>
          <w:bCs/>
        </w:rPr>
        <w:t xml:space="preserve">Кой подписва: </w:t>
      </w:r>
      <w:r>
        <w:t xml:space="preserve">В документите не е посочен подписващ.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„Непредставянето на счетоводна политика няма да доведе до отхвърляне на проектното предложение“</w:t>
      </w:r>
    </w:p>
    <w:p>
      <w:pPr>
        <w:pStyle w:val="Heading3"/>
      </w:pPr>
      <w:r>
        <w:t xml:space="preserve">Счетоводен амортизационен план (ако е приложимо)</w:t>
      </w:r>
    </w:p>
    <w:p>
      <w:r>
        <w:t xml:space="preserve">Счетоводен амортизационен план, само при регионална помощ и диверсификация.</w:t>
      </w:r>
    </w:p>
    <w:p>
      <w:r>
        <w:rPr>
          <w:b/>
          <w:bCs/>
        </w:rPr>
        <w:t xml:space="preserve">Кой подписва: </w:t>
      </w:r>
      <w:r>
        <w:t xml:space="preserve">В документите не е посочен подписващ. При начало на работата през 2026 година планът е към 31 декември 2025 година.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„Документът е приложим САМО в случай че кандидатът е избрал режим „регионална инвестиционна помощ” по Елемент I И чрез проекта ще се осъществява първоначална инвестиция свързана с“</w:t>
      </w:r>
    </w:p>
    <w:p>
      <w:pPr>
        <w:pStyle w:val="Heading3"/>
      </w:pPr>
      <w:r>
        <w:t xml:space="preserve">Документи за въведени екологични стандарти (ако е приложимо)</w:t>
      </w:r>
    </w:p>
    <w:p>
      <w:r>
        <w:t xml:space="preserve">Валиден сертификат или удостоверение за въведен екологичен стандарт или Екомаркировка на Европейския съюз.</w:t>
      </w:r>
    </w:p>
    <w:p>
      <w:r>
        <w:rPr>
          <w:b/>
          <w:bCs/>
        </w:rPr>
        <w:t xml:space="preserve">Кой подписва: </w:t>
      </w:r>
      <w:r>
        <w:t xml:space="preserve">Издават се от акредитиран сертифициращ орган или от Министерството на околната среда и водите.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„и) Документи, удостоверяващи въведени в предприятието екологични стандарти, вкл. Екомаркировката на ЕС (ако е приложимо).“</w:t>
      </w:r>
    </w:p>
    <w:p>
      <w:pPr>
        <w:pStyle w:val="Heading2"/>
      </w:pPr>
      <w:r>
        <w:t xml:space="preserve">Файловете в пакета документи на процедурата</w:t>
      </w:r>
    </w:p>
    <w:p>
      <w:r>
        <w:t xml:space="preserve">Образците за попълване са в архива „Условия за кандидатстване“ на страницата на процедурата в ИСУН. Ето всички файлове в него:</w:t>
      </w:r>
    </w:p>
    <w:p>
      <w:pPr>
        <w:pStyle w:val="ListParagraph"/>
        <w:numPr>
          <w:ilvl w:val="0"/>
          <w:numId w:val="2"/>
        </w:numPr>
      </w:pPr>
      <w:r>
        <w:t xml:space="preserve">2.003_UK_Green technologies in SMEs (ITI).docx</w:t>
      </w:r>
    </w:p>
    <w:p>
      <w:pPr>
        <w:pStyle w:val="ListParagraph"/>
        <w:numPr>
          <w:ilvl w:val="0"/>
          <w:numId w:val="2"/>
        </w:numPr>
      </w:pPr>
      <w:r>
        <w:t xml:space="preserve">Pril_10_Sakrashteniya-opredeleniyа.docx</w:t>
      </w:r>
    </w:p>
    <w:p>
      <w:pPr>
        <w:pStyle w:val="ListParagraph"/>
        <w:numPr>
          <w:ilvl w:val="0"/>
          <w:numId w:val="2"/>
        </w:numPr>
      </w:pPr>
      <w:r>
        <w:t xml:space="preserve">Pril_11_Annex_I_DFES.docx</w:t>
      </w:r>
    </w:p>
    <w:p>
      <w:pPr>
        <w:pStyle w:val="ListParagraph"/>
        <w:numPr>
          <w:ilvl w:val="0"/>
          <w:numId w:val="2"/>
        </w:numPr>
      </w:pPr>
      <w:r>
        <w:t xml:space="preserve">Pril_12_KID-2025_NSI.pdf</w:t>
      </w:r>
    </w:p>
    <w:p>
      <w:pPr>
        <w:pStyle w:val="ListParagraph"/>
        <w:numPr>
          <w:ilvl w:val="0"/>
          <w:numId w:val="2"/>
        </w:numPr>
      </w:pPr>
      <w:r>
        <w:t xml:space="preserve">Pril_13_Spisak_Rayoni za planirane.docx</w:t>
      </w:r>
    </w:p>
    <w:p>
      <w:pPr>
        <w:pStyle w:val="ListParagraph"/>
        <w:numPr>
          <w:ilvl w:val="0"/>
          <w:numId w:val="2"/>
        </w:numPr>
      </w:pPr>
      <w:r>
        <w:t xml:space="preserve">Pril_14_Obshtini_selski_rayoni.docx</w:t>
      </w:r>
    </w:p>
    <w:p>
      <w:pPr>
        <w:pStyle w:val="ListParagraph"/>
        <w:numPr>
          <w:ilvl w:val="0"/>
          <w:numId w:val="2"/>
        </w:numPr>
      </w:pPr>
      <w:r>
        <w:t xml:space="preserve">Pril_15_Obshtini_KITI.docx</w:t>
      </w:r>
    </w:p>
    <w:p>
      <w:pPr>
        <w:pStyle w:val="ListParagraph"/>
        <w:numPr>
          <w:ilvl w:val="0"/>
          <w:numId w:val="2"/>
        </w:numPr>
      </w:pPr>
      <w:r>
        <w:t xml:space="preserve">Pril_16_NSMSP_2021-2030.docx</w:t>
      </w:r>
    </w:p>
    <w:p>
      <w:pPr>
        <w:pStyle w:val="ListParagraph"/>
        <w:numPr>
          <w:ilvl w:val="0"/>
          <w:numId w:val="2"/>
        </w:numPr>
      </w:pPr>
      <w:r>
        <w:t xml:space="preserve">Pril_17_Pril_I_Direktiva_2003_emisii.docx</w:t>
      </w:r>
    </w:p>
    <w:p>
      <w:pPr>
        <w:pStyle w:val="ListParagraph"/>
        <w:numPr>
          <w:ilvl w:val="0"/>
          <w:numId w:val="2"/>
        </w:numPr>
      </w:pPr>
      <w:r>
        <w:t xml:space="preserve">Pril_18_Printsip za NZV_DNSH.docx</w:t>
      </w:r>
    </w:p>
    <w:p>
      <w:pPr>
        <w:pStyle w:val="ListParagraph"/>
        <w:numPr>
          <w:ilvl w:val="0"/>
          <w:numId w:val="2"/>
        </w:numPr>
      </w:pPr>
      <w:r>
        <w:t xml:space="preserve">Pril_6_Kriterii za otsenka_Green_tech_SME (ITI).docx</w:t>
      </w:r>
    </w:p>
    <w:p>
      <w:pPr>
        <w:pStyle w:val="ListParagraph"/>
        <w:numPr>
          <w:ilvl w:val="0"/>
          <w:numId w:val="2"/>
        </w:numPr>
      </w:pPr>
      <w:r>
        <w:t xml:space="preserve">Pril_7_Ukazaniya za popalvane na e-formulyar.docx</w:t>
      </w:r>
    </w:p>
    <w:p>
      <w:pPr>
        <w:pStyle w:val="ListParagraph"/>
        <w:numPr>
          <w:ilvl w:val="0"/>
          <w:numId w:val="2"/>
        </w:numPr>
      </w:pPr>
      <w:r>
        <w:t xml:space="preserve">Pril_8_Opisanie na prilozhimite indikatori.docx</w:t>
      </w:r>
    </w:p>
    <w:p>
      <w:pPr>
        <w:pStyle w:val="ListParagraph"/>
        <w:numPr>
          <w:ilvl w:val="0"/>
          <w:numId w:val="2"/>
        </w:numPr>
      </w:pPr>
      <w:r>
        <w:t xml:space="preserve">Pril_9_Ukazaniya za podpisvane.xlsx</w:t>
      </w:r>
    </w:p>
    <w:p>
      <w:pPr>
        <w:pStyle w:val="ListParagraph"/>
        <w:numPr>
          <w:ilvl w:val="0"/>
          <w:numId w:val="2"/>
        </w:numPr>
      </w:pPr>
      <w:r>
        <w:t xml:space="preserve">Pril_1_Palnomoshtno.docx</w:t>
      </w:r>
    </w:p>
    <w:p>
      <w:pPr>
        <w:pStyle w:val="ListParagraph"/>
        <w:numPr>
          <w:ilvl w:val="0"/>
          <w:numId w:val="2"/>
        </w:numPr>
      </w:pPr>
      <w:r>
        <w:t xml:space="preserve">Pril_2_Deklaratsiya pri kandidatstvane.docx</w:t>
      </w:r>
    </w:p>
    <w:p>
      <w:pPr>
        <w:pStyle w:val="ListParagraph"/>
        <w:numPr>
          <w:ilvl w:val="0"/>
          <w:numId w:val="2"/>
        </w:numPr>
      </w:pPr>
      <w:r>
        <w:t xml:space="preserve">Pril_3.1 poluchena_darzh-min_pomosht.doc</w:t>
      </w:r>
    </w:p>
    <w:p>
      <w:pPr>
        <w:pStyle w:val="ListParagraph"/>
        <w:numPr>
          <w:ilvl w:val="0"/>
          <w:numId w:val="2"/>
        </w:numPr>
      </w:pPr>
      <w:r>
        <w:t xml:space="preserve">Pril_3.2_poluchena_min_pomosht.doc</w:t>
      </w:r>
    </w:p>
    <w:p>
      <w:pPr>
        <w:pStyle w:val="ListParagraph"/>
        <w:numPr>
          <w:ilvl w:val="0"/>
          <w:numId w:val="2"/>
        </w:numPr>
      </w:pPr>
      <w:r>
        <w:t xml:space="preserve">Pril_3.3. Decl.docx</w:t>
      </w:r>
    </w:p>
    <w:p>
      <w:pPr>
        <w:pStyle w:val="ListParagraph"/>
        <w:numPr>
          <w:ilvl w:val="0"/>
          <w:numId w:val="2"/>
        </w:numPr>
      </w:pPr>
      <w:r>
        <w:t xml:space="preserve">Pril_3.3.A.docx</w:t>
      </w:r>
    </w:p>
    <w:p>
      <w:pPr>
        <w:pStyle w:val="ListParagraph"/>
        <w:numPr>
          <w:ilvl w:val="0"/>
          <w:numId w:val="2"/>
        </w:numPr>
      </w:pPr>
      <w:r>
        <w:t xml:space="preserve">Pril_3.A_Iziskvaniya_regimi_pomosht.docx</w:t>
      </w:r>
    </w:p>
    <w:p>
      <w:pPr>
        <w:pStyle w:val="ListParagraph"/>
        <w:numPr>
          <w:ilvl w:val="0"/>
          <w:numId w:val="2"/>
        </w:numPr>
      </w:pPr>
      <w:r>
        <w:t xml:space="preserve">Pril_3_Dekl_darzh-min_pomoshti.doc</w:t>
      </w:r>
    </w:p>
    <w:p>
      <w:pPr>
        <w:pStyle w:val="ListParagraph"/>
        <w:numPr>
          <w:ilvl w:val="0"/>
          <w:numId w:val="2"/>
        </w:numPr>
      </w:pPr>
      <w:r>
        <w:t xml:space="preserve">Pril_4.1_Spravka_MSP.xlsx</w:t>
      </w:r>
    </w:p>
    <w:p>
      <w:pPr>
        <w:pStyle w:val="ListParagraph"/>
        <w:numPr>
          <w:ilvl w:val="0"/>
          <w:numId w:val="2"/>
        </w:numPr>
      </w:pPr>
      <w:r>
        <w:t xml:space="preserve">Pril_4_Deklaratsiya_MSP.pdf</w:t>
      </w:r>
    </w:p>
    <w:p>
      <w:pPr>
        <w:pStyle w:val="ListParagraph"/>
        <w:numPr>
          <w:ilvl w:val="0"/>
          <w:numId w:val="2"/>
        </w:numPr>
      </w:pPr>
      <w:r>
        <w:t xml:space="preserve">Ukazaniya za popal.pdf</w:t>
      </w:r>
    </w:p>
    <w:p>
      <w:pPr>
        <w:pStyle w:val="ListParagraph"/>
        <w:numPr>
          <w:ilvl w:val="0"/>
          <w:numId w:val="2"/>
        </w:numPr>
      </w:pPr>
      <w:r>
        <w:t xml:space="preserve">Pril_5_Tehnicheska spetsifikatsiya.docx</w:t>
      </w:r>
    </w:p>
    <w:p>
      <w:pPr>
        <w:pStyle w:val="Heading1"/>
      </w:pPr>
      <w:r>
        <w:t xml:space="preserve">Как се подава в ИСУН</w:t>
      </w:r>
    </w:p>
    <w:p>
      <w:pPr>
        <w:pStyle w:val="Heading2"/>
      </w:pPr>
      <w:r>
        <w:t xml:space="preserve">Регистрация</w:t>
      </w:r>
    </w:p>
    <w:p>
      <w:pPr>
        <w:pStyle w:val="ListParagraph"/>
        <w:numPr>
          <w:ilvl w:val="0"/>
          <w:numId w:val="3"/>
        </w:numPr>
      </w:pPr>
      <w:r>
        <w:t xml:space="preserve">Отворете eumis2020.government.bg и изберете „Нов потребител“.</w:t>
      </w:r>
    </w:p>
    <w:p>
      <w:pPr>
        <w:pStyle w:val="ListParagraph"/>
        <w:numPr>
          <w:ilvl w:val="0"/>
          <w:numId w:val="3"/>
        </w:numPr>
      </w:pPr>
      <w:r>
        <w:t xml:space="preserve">Попълнете име, фамилия, имейл (той става потребителското ви име) и телефон.</w:t>
      </w:r>
    </w:p>
    <w:p>
      <w:pPr>
        <w:pStyle w:val="ListParagraph"/>
        <w:numPr>
          <w:ilvl w:val="0"/>
          <w:numId w:val="3"/>
        </w:numPr>
      </w:pPr>
      <w:r>
        <w:t xml:space="preserve">Отворете писмото за активиране, което ИСУН ви праща, и задайте парола от поне 8 знака.</w:t>
      </w:r>
    </w:p>
    <w:p>
      <w:r>
        <w:rPr>
          <w:b/>
          <w:bCs/>
        </w:rPr>
        <w:t xml:space="preserve">Внимание: </w:t>
      </w:r>
      <w:r>
        <w:t xml:space="preserve">При вход ИСУН може да поиска код за сигурност от картинка. Ако екранният четец не го прочете, помолете някого само за тази стъпка.</w:t>
      </w:r>
    </w:p>
    <w:p>
      <w:pPr>
        <w:pStyle w:val="Heading2"/>
      </w:pPr>
      <w:r>
        <w:t xml:space="preserve">Подаване и подпис</w:t>
      </w:r>
    </w:p>
    <w:p>
      <w:pPr>
        <w:pStyle w:val="ListParagraph"/>
        <w:numPr>
          <w:ilvl w:val="0"/>
          <w:numId w:val="4"/>
        </w:numPr>
      </w:pPr>
      <w:r>
        <w:t xml:space="preserve">Попълнете формуляра в модул „Е-кандидатстване“, прикачете документите и натиснете „Подай предложение“.</w:t>
      </w:r>
    </w:p>
    <w:p>
      <w:pPr>
        <w:pStyle w:val="ListParagraph"/>
        <w:numPr>
          <w:ilvl w:val="0"/>
          <w:numId w:val="4"/>
        </w:numPr>
      </w:pPr>
      <w:r>
        <w:t xml:space="preserve">ИСУН сваля файл с разширение .isun. Запазете го в папка, в която няма други такива файлове.</w:t>
      </w:r>
    </w:p>
    <w:p>
      <w:pPr>
        <w:pStyle w:val="ListParagraph"/>
        <w:numPr>
          <w:ilvl w:val="0"/>
          <w:numId w:val="4"/>
        </w:numPr>
      </w:pPr>
      <w:r>
        <w:t xml:space="preserve">Подпишете този файл с квалифициран електронен подпис (КЕП) като „отделен подпис“ — получава се файл с разширение .p7s, обикновено от 3 до 9 KB. Използвайте софтуера на издателя на вашия подпис.</w:t>
      </w:r>
    </w:p>
    <w:p>
      <w:pPr>
        <w:pStyle w:val="ListParagraph"/>
        <w:numPr>
          <w:ilvl w:val="0"/>
          <w:numId w:val="4"/>
        </w:numPr>
      </w:pPr>
      <w:r>
        <w:t xml:space="preserve">На Mac, ако софтуерът на издателя не работи, указанията на ИСУН (към процедура 2.003) препоръчват програмата Infonotary e-DocSigner със схема „Комуникация с НАП“ — тя прави .p7s файл.</w:t>
      </w:r>
    </w:p>
    <w:p>
      <w:pPr>
        <w:pStyle w:val="ListParagraph"/>
        <w:numPr>
          <w:ilvl w:val="0"/>
          <w:numId w:val="4"/>
        </w:numPr>
      </w:pPr>
      <w:r>
        <w:t xml:space="preserve">Заредете .p7s файла в ИСУН. Ако системата каже „Невалиден подпис“, изтрийте заредения файл, рестартирайте компютъра и повторете стъпките.</w:t>
      </w:r>
    </w:p>
    <w:p>
      <w:pPr>
        <w:pStyle w:val="ListParagraph"/>
        <w:numPr>
          <w:ilvl w:val="0"/>
          <w:numId w:val="4"/>
        </w:numPr>
      </w:pPr>
      <w:r>
        <w:t xml:space="preserve">Ако фирмата се представлява само заедно от няколко души, всеки от тях подписва.</w:t>
      </w:r>
    </w:p>
    <w:p>
      <w:pPr>
        <w:pStyle w:val="Heading2"/>
      </w:pPr>
      <w:r>
        <w:t xml:space="preserve">Какво казват документите на тази процедура</w:t>
      </w:r>
    </w:p>
    <w:p>
      <w:r>
        <w:t xml:space="preserve">Регистрирайте се в Информационната система за управление и наблюдение с имейл и парола, изберете процедурата от Отворени процедури и създайте ново проектно предложение.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„Кандидатът влиза в ИСУН, след регистрация чрез имейл и парола, избира настоящата процедура за кандидатстване от „Отворени процедури“ и създава ново проектно предложение.“</w:t>
      </w:r>
    </w:p>
    <w:p>
      <w:r>
        <w:t xml:space="preserve">Проверете формуляра за грешки. Докато има грешки, подаването е блокирано.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„Моля, имайте предвид, че ако не отстраните допуснатите грешки, системата няма да Ви разреши да подадете проектното предложение.“</w:t>
      </w:r>
    </w:p>
    <w:p>
      <w:r>
        <w:t xml:space="preserve">Изтеглете файла на предложението и го подпишете с квалифициран електронен подпис като отделен подписан файл.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„Файлът следва да бъде подписан с т.нар. отделена сигнатура (Detached signature), а разширението на генерирания файл следва да бъде .p7s.“</w:t>
      </w:r>
    </w:p>
    <w:p>
      <w:r>
        <w:t xml:space="preserve">Заредете файла с подписа в системата и натиснете бутона за подаване.</w:t>
      </w:r>
    </w:p>
    <w:p>
      <w:pPr>
        <w:ind w:left="567"/>
      </w:pPr>
      <w:r>
        <w:rPr>
          <w:b/>
          <w:bCs/>
        </w:rPr>
        <w:t xml:space="preserve">Точният текст от указанията за попълване на е-формуляра: </w:t>
      </w:r>
      <w:r>
        <w:rPr>
          <w:i/>
          <w:iCs/>
        </w:rPr>
        <w:t xml:space="preserve">„При коректна работа системата ще Ви изведе информация за прикачения електронен подпис и можете да пристъпите към подаване на Вашето проектно предложение чрез избор на бутон „Подай проектното предложение”.“</w:t>
      </w:r>
    </w:p>
    <w:p>
      <w:r>
        <w:t xml:space="preserve">Подписва официалният представляващ или упълномощено лице. Ако фирмата се представлява само заедно, подписва всеки представляващ.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случаите, когато кандидатът се представлява само заедно от няколко физически лица, проектното предложение се подписва от всяко от тях при подаването.“</w:t>
      </w:r>
    </w:p>
    <w:p>
      <w:r>
        <w:t xml:space="preserve">Крайният срок е 16:30 часа на 10 ноември 2026 година.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„Крайният срок за подаване на проектни предложения е 16:30 часа на 10.11.2026 г.“</w:t>
      </w:r>
    </w:p>
    <w:p>
      <w:r>
        <w:t xml:space="preserve">Всеки кандидат може да подаде само едно проектно предложение.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рамките на настоящата процедура кандидатите могат да подадат само едно проектно предложение.“</w:t>
      </w:r>
    </w:p>
    <w:p>
      <w:r>
        <w:t xml:space="preserve">Въпроси се задават само в системата, до 3 седмици преди крайния срок. След подаването проверявайте профила си всеки ден.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предложения.“</w:t>
      </w:r>
    </w:p>
    <w:p>
      <w:pPr>
        <w:pStyle w:val="Heading1"/>
      </w:pPr>
      <w:r>
        <w:t xml:space="preserve">На какво да внимавате</w:t>
      </w:r>
    </w:p>
    <w:p>
      <w:r>
        <w:t xml:space="preserve">За всеки актив трябва ясно да се обясни как въвежда кръгов модел; иначе разходът се маха.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„Липсата на достатъчно обоснована информация, която да дава увереност за спазване на посоченото изискване, ще бъде основание за премахване на разходите за съответния/те актив/и от бюджета на проекта.“</w:t>
      </w:r>
    </w:p>
    <w:p>
      <w:r>
        <w:t xml:space="preserve">Места на изпълнение в повече от една категория региони водят до отхвърляне.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случай че кандидатът е посочил места на изпълнение на проекта в повече от един от посочените три категории региони, проектното предложение се отхвърля.“</w:t>
      </w:r>
    </w:p>
    <w:p>
      <w:r>
        <w:t xml:space="preserve">Без оферти за активите проектът се отхвърля; цената в бюджета може да е най-много 10 процента над офертата.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„като е допустимо увеличение с не повече от 10 % от стойността на представената оферта“</w:t>
      </w:r>
    </w:p>
    <w:p>
      <w:r>
        <w:t xml:space="preserve">Помощта не може да надхвърля определен процент от средногодишните приходи за 2023, 2024 и 2025 година, например за малки предприятия 60 процента.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„за малки предприятия: 60 % от средногодишните нетни приходи от продажби на предприятието - кандидат за тригодишния период 2023 г., 2024 г. и 2025 г.“</w:t>
      </w:r>
    </w:p>
    <w:p>
      <w:r>
        <w:t xml:space="preserve">Дейности, започнали преди подаването, са недопустими.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„дейности, чието изпълнение е започнало или е физически завършено, или е изцяло осъществено преди подаването на проектното предложение, независимо дали всички свързани плащания са извършени;“</w:t>
      </w:r>
    </w:p>
    <w:p>
      <w:r>
        <w:t xml:space="preserve">Под 22 точки на оценката проектът се отхвърля.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„Проектни предложения, които са получили по-малко от 22 точки по критериите за техническа и финансова оценка, се отхвърлят.“</w:t>
      </w:r>
    </w:p>
    <w:p>
      <w:r>
        <w:t xml:space="preserve">Нула точки за бюджета също означава отхвърляне.</w:t>
      </w:r>
    </w:p>
    <w:p>
      <w:pPr>
        <w:ind w:left="567"/>
      </w:pPr>
      <w:r>
        <w:rPr>
          <w:b/>
          <w:bCs/>
        </w:rPr>
        <w:t xml:space="preserve">Точният текст от условията за кандидатстване: </w:t>
      </w:r>
      <w:r>
        <w:rPr>
          <w:i/>
          <w:iCs/>
        </w:rPr>
        <w:t xml:space="preserve">„В случай че проектно предложение получи „0” точки по критерий „Бюджет на проекта”, то също се отхвърля.“</w:t>
      </w:r>
    </w:p>
    <w:p>
      <w:r>
        <w:t xml:space="preserve">Десет точки се дават, ако поне половината от инвестицията е в изброените общини с концепции за интегрирани териториални инвестиции.</w:t>
      </w:r>
    </w:p>
    <w:p>
      <w:pPr>
        <w:ind w:left="567"/>
      </w:pPr>
      <w:r>
        <w:rPr>
          <w:b/>
          <w:bCs/>
        </w:rPr>
        <w:t xml:space="preserve">Точният текст от критериите за оценка: </w:t>
      </w:r>
      <w:r>
        <w:rPr>
          <w:i/>
          <w:iCs/>
        </w:rPr>
        <w:t xml:space="preserve">„Минимум 50% от инвестицията (съгласно заявените разходи в бюджета) се реализира на територията на общините“</w:t>
      </w:r>
    </w:p>
    <w:p>
      <w:pPr>
        <w:pStyle w:val="Heading1"/>
      </w:pPr>
      <w:r>
        <w:t xml:space="preserve">Източници</w:t>
      </w:r>
    </w:p>
    <w:p>
      <w:pPr>
        <w:pStyle w:val="ListParagraph"/>
        <w:numPr>
          <w:ilvl w:val="0"/>
          <w:numId w:val="2"/>
        </w:numPr>
      </w:pPr>
      <w:r>
        <w:t xml:space="preserve">Страницата на процедурата в ИСУН: https://eumis2020.government.bg/bg/s/Procedure/Info/5023bcbb-36a8-441e-91ff-b92abdb79b9f (разборът е от 4 октомври 2026 г., 19:04 ч.).</w:t>
      </w:r>
    </w:p>
    <w:p>
      <w:pPr>
        <w:pStyle w:val="ListParagraph"/>
        <w:numPr>
          <w:ilvl w:val="0"/>
          <w:numId w:val="2"/>
        </w:numPr>
      </w:pPr>
      <w:r>
        <w:t xml:space="preserve">Условията за кандидатстване: файл „2.003_UK_Green technologies in SMEs (ITI).docx“.</w:t>
      </w:r>
    </w:p>
    <w:p>
      <w:pPr>
        <w:pStyle w:val="ListParagraph"/>
        <w:numPr>
          <w:ilvl w:val="0"/>
          <w:numId w:val="2"/>
        </w:numPr>
      </w:pPr>
      <w:r>
        <w:t xml:space="preserve">Указанията за попълване на е-формуляра: файл „Pril_7_Ukazaniya za popalvane na e-formulyar.docx“.</w:t>
      </w:r>
    </w:p>
    <w:p>
      <w:pPr>
        <w:pStyle w:val="ListParagraph"/>
        <w:numPr>
          <w:ilvl w:val="0"/>
          <w:numId w:val="2"/>
        </w:numPr>
      </w:pPr>
      <w:r>
        <w:t xml:space="preserve">Критериите за оценка: файл „Pril_6_Kriterii za otsenka_Green_tech_SME (ITI).docx“.</w:t>
      </w:r>
    </w:p>
    <w:p>
      <w:pPr>
        <w:pStyle w:val="ListParagraph"/>
        <w:numPr>
          <w:ilvl w:val="0"/>
          <w:numId w:val="2"/>
        </w:numPr>
      </w:pPr>
      <w:r>
        <w:t xml:space="preserve">Указания за попълване на е-формуляр към процедура BG16RFPR001-2.003 и ръководството на ИСУН — за общите стъпки при регистрация и подписване.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  <w:lang w:val="bg-BG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Кандидатстване: BG16RFPR001-2.003 Въвеждане на зелени технологии в МСП</dc:title>
  <dc:creator>porachkite.com</dc:creator>
  <dc:description>Направено на 4 октомври 2026 г., 19:04 ч. от официалните документи на процедурата в ИСУН. Това е помощ, не правен съвет.</dc:description>
  <cp:lastModifiedBy>Un-named</cp:lastModifiedBy>
  <cp:revision>1</cp:revision>
  <dcterms:created xsi:type="dcterms:W3CDTF">2026-10-05T08:50:48.321Z</dcterms:created>
  <dcterms:modified xsi:type="dcterms:W3CDTF">2026-10-05T08:50:48.321Z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